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53C9FC">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48"/>
          <w:highlight w:val="none"/>
        </w:rPr>
      </w:pPr>
    </w:p>
    <w:p w14:paraId="270A2B52">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48"/>
          <w:highlight w:val="none"/>
        </w:rPr>
      </w:pPr>
    </w:p>
    <w:p w14:paraId="469CD13C">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48"/>
          <w:highlight w:val="none"/>
        </w:rPr>
      </w:pPr>
    </w:p>
    <w:p w14:paraId="4D28F099">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48"/>
          <w:highlight w:val="none"/>
        </w:rPr>
      </w:pPr>
    </w:p>
    <w:p w14:paraId="74643697">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48"/>
          <w:highlight w:val="none"/>
        </w:rPr>
      </w:pPr>
      <w:r>
        <w:rPr>
          <w:rFonts w:hint="eastAsia" w:ascii="黑体" w:hAnsi="黑体" w:eastAsia="黑体" w:cs="黑体"/>
          <w:color w:val="auto"/>
          <w:sz w:val="48"/>
          <w:highlight w:val="none"/>
        </w:rPr>
        <w:t>株洲农村商业银行股份有限公司</w:t>
      </w:r>
    </w:p>
    <w:p w14:paraId="02D7AB91">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48"/>
          <w:highlight w:val="none"/>
        </w:rPr>
      </w:pPr>
      <w:r>
        <w:rPr>
          <w:rFonts w:hint="eastAsia" w:ascii="黑体" w:hAnsi="黑体" w:eastAsia="黑体" w:cs="黑体"/>
          <w:color w:val="auto"/>
          <w:sz w:val="48"/>
          <w:highlight w:val="none"/>
          <w:lang w:val="en-US" w:eastAsia="zh-CN"/>
        </w:rPr>
        <w:t>2025</w:t>
      </w:r>
      <w:r>
        <w:rPr>
          <w:rFonts w:hint="eastAsia" w:ascii="黑体" w:hAnsi="黑体" w:eastAsia="黑体" w:cs="黑体"/>
          <w:color w:val="auto"/>
          <w:sz w:val="48"/>
          <w:highlight w:val="none"/>
        </w:rPr>
        <w:t>年度环境信息报告</w:t>
      </w:r>
    </w:p>
    <w:p w14:paraId="047533D5">
      <w:pPr>
        <w:pageBreakBefore w:val="0"/>
        <w:kinsoku/>
        <w:wordWrap/>
        <w:overflowPunct/>
        <w:topLinePunct w:val="0"/>
        <w:bidi w:val="0"/>
        <w:adjustRightInd/>
        <w:snapToGrid/>
        <w:spacing w:line="240" w:lineRule="auto"/>
        <w:ind w:left="0" w:leftChars="0"/>
        <w:rPr>
          <w:rFonts w:hint="eastAsia" w:ascii="黑体" w:hAnsi="黑体" w:eastAsia="黑体" w:cs="黑体"/>
          <w:color w:val="auto"/>
          <w:highlight w:val="none"/>
        </w:rPr>
      </w:pPr>
    </w:p>
    <w:p w14:paraId="48BBD977">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30"/>
          <w:szCs w:val="30"/>
          <w:highlight w:val="none"/>
        </w:rPr>
      </w:pPr>
    </w:p>
    <w:p w14:paraId="0CB9BD66">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30"/>
          <w:szCs w:val="30"/>
          <w:highlight w:val="none"/>
        </w:rPr>
      </w:pPr>
    </w:p>
    <w:p w14:paraId="6D971289">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30"/>
          <w:szCs w:val="30"/>
          <w:highlight w:val="none"/>
          <w:lang w:eastAsia="zh-CN"/>
        </w:rPr>
      </w:pPr>
    </w:p>
    <w:p w14:paraId="3B0AC332">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30"/>
          <w:szCs w:val="30"/>
          <w:highlight w:val="none"/>
        </w:rPr>
      </w:pPr>
    </w:p>
    <w:p w14:paraId="7C55D38F">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30"/>
          <w:szCs w:val="30"/>
          <w:highlight w:val="none"/>
        </w:rPr>
      </w:pPr>
    </w:p>
    <w:p w14:paraId="1FCF2E3E">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30"/>
          <w:szCs w:val="30"/>
          <w:highlight w:val="none"/>
        </w:rPr>
      </w:pPr>
    </w:p>
    <w:p w14:paraId="346ABE10">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30"/>
          <w:szCs w:val="30"/>
          <w:highlight w:val="none"/>
        </w:rPr>
      </w:pPr>
    </w:p>
    <w:p w14:paraId="45B524F1">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36"/>
          <w:highlight w:val="none"/>
        </w:rPr>
      </w:pPr>
    </w:p>
    <w:p w14:paraId="1D39BF01">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36"/>
          <w:highlight w:val="none"/>
        </w:rPr>
      </w:pPr>
      <w:r>
        <w:rPr>
          <w:rFonts w:hint="eastAsia" w:ascii="黑体" w:hAnsi="黑体" w:eastAsia="黑体" w:cs="黑体"/>
          <w:color w:val="auto"/>
          <w:sz w:val="36"/>
          <w:highlight w:val="none"/>
          <w:lang w:val="en-US" w:eastAsia="zh-CN"/>
        </w:rPr>
        <w:t>2026年3</w:t>
      </w:r>
      <w:r>
        <w:rPr>
          <w:rFonts w:hint="eastAsia" w:ascii="黑体" w:hAnsi="黑体" w:eastAsia="黑体" w:cs="黑体"/>
          <w:color w:val="auto"/>
          <w:sz w:val="36"/>
          <w:highlight w:val="none"/>
        </w:rPr>
        <w:t>月</w:t>
      </w:r>
    </w:p>
    <w:p w14:paraId="3D3EA049">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黑体" w:hAnsi="黑体" w:eastAsia="黑体" w:cs="黑体"/>
          <w:color w:val="auto"/>
          <w:sz w:val="30"/>
          <w:szCs w:val="30"/>
          <w:highlight w:val="none"/>
        </w:rPr>
        <w:br w:type="page"/>
      </w:r>
    </w:p>
    <w:p w14:paraId="7E5FCC2A">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30"/>
          <w:szCs w:val="30"/>
          <w:highlight w:val="none"/>
        </w:rPr>
      </w:pPr>
    </w:p>
    <w:p w14:paraId="0FF9B388">
      <w:pPr>
        <w:pStyle w:val="29"/>
        <w:pageBreakBefore w:val="0"/>
        <w:kinsoku/>
        <w:wordWrap/>
        <w:overflowPunct/>
        <w:topLinePunct w:val="0"/>
        <w:bidi w:val="0"/>
        <w:adjustRightInd/>
        <w:snapToGrid/>
        <w:spacing w:before="0" w:after="0" w:line="240" w:lineRule="auto"/>
        <w:ind w:left="0" w:leftChars="0"/>
        <w:jc w:val="center"/>
        <w:rPr>
          <w:rFonts w:hint="eastAsia" w:ascii="黑体" w:hAnsi="黑体" w:eastAsia="黑体" w:cs="黑体"/>
          <w:b w:val="0"/>
          <w:color w:val="auto"/>
          <w:sz w:val="32"/>
          <w:szCs w:val="32"/>
          <w:highlight w:val="none"/>
        </w:rPr>
      </w:pPr>
      <w:r>
        <w:rPr>
          <w:rFonts w:hint="eastAsia" w:ascii="黑体" w:hAnsi="黑体" w:eastAsia="黑体" w:cs="黑体"/>
          <w:b w:val="0"/>
          <w:color w:val="auto"/>
          <w:sz w:val="32"/>
          <w:szCs w:val="32"/>
          <w:highlight w:val="none"/>
          <w:lang w:val="zh-CN"/>
        </w:rPr>
        <w:t>目  录</w:t>
      </w:r>
    </w:p>
    <w:p w14:paraId="645B2991">
      <w:pPr>
        <w:pStyle w:val="11"/>
        <w:tabs>
          <w:tab w:val="right" w:leader="dot" w:pos="8788"/>
        </w:tabs>
        <w:rPr>
          <w:rFonts w:hint="eastAsia" w:ascii="黑体" w:hAnsi="黑体" w:eastAsia="黑体" w:cs="黑体"/>
          <w:color w:val="auto"/>
        </w:rPr>
      </w:pPr>
      <w:r>
        <w:rPr>
          <w:rFonts w:hint="eastAsia" w:ascii="黑体" w:hAnsi="黑体" w:eastAsia="黑体" w:cs="黑体"/>
          <w:color w:val="auto"/>
          <w:sz w:val="28"/>
          <w:szCs w:val="28"/>
          <w:highlight w:val="none"/>
        </w:rPr>
        <w:fldChar w:fldCharType="begin"/>
      </w:r>
      <w:r>
        <w:rPr>
          <w:rFonts w:hint="eastAsia" w:ascii="黑体" w:hAnsi="黑体" w:eastAsia="黑体" w:cs="黑体"/>
          <w:color w:val="auto"/>
          <w:sz w:val="28"/>
          <w:szCs w:val="28"/>
          <w:highlight w:val="none"/>
        </w:rPr>
        <w:instrText xml:space="preserve"> TOC \o "1-3" \h \z \u </w:instrText>
      </w:r>
      <w:r>
        <w:rPr>
          <w:rFonts w:hint="eastAsia" w:ascii="黑体" w:hAnsi="黑体" w:eastAsia="黑体" w:cs="黑体"/>
          <w:color w:val="auto"/>
          <w:sz w:val="28"/>
          <w:szCs w:val="28"/>
          <w:highlight w:val="none"/>
        </w:rPr>
        <w:fldChar w:fldCharType="separate"/>
      </w:r>
      <w:r>
        <w:rPr>
          <w:rFonts w:hint="eastAsia" w:ascii="黑体" w:hAnsi="黑体" w:eastAsia="黑体" w:cs="黑体"/>
          <w:color w:val="auto"/>
          <w:szCs w:val="28"/>
          <w:highlight w:val="none"/>
        </w:rPr>
        <w:fldChar w:fldCharType="begin"/>
      </w:r>
      <w:r>
        <w:rPr>
          <w:rFonts w:hint="eastAsia" w:ascii="黑体" w:hAnsi="黑体" w:eastAsia="黑体" w:cs="黑体"/>
          <w:color w:val="auto"/>
          <w:szCs w:val="28"/>
          <w:highlight w:val="none"/>
        </w:rPr>
        <w:instrText xml:space="preserve"> HYPERLINK \l _Toc14690 </w:instrText>
      </w:r>
      <w:r>
        <w:rPr>
          <w:rFonts w:hint="eastAsia" w:ascii="黑体" w:hAnsi="黑体" w:eastAsia="黑体" w:cs="黑体"/>
          <w:color w:val="auto"/>
          <w:szCs w:val="28"/>
          <w:highlight w:val="none"/>
        </w:rPr>
        <w:fldChar w:fldCharType="separate"/>
      </w:r>
      <w:r>
        <w:rPr>
          <w:rFonts w:hint="eastAsia" w:ascii="黑体" w:hAnsi="黑体" w:eastAsia="黑体" w:cs="黑体"/>
          <w:color w:val="auto"/>
          <w:highlight w:val="none"/>
        </w:rPr>
        <w:t>一、报告编制说明</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_Toc14690 \h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color w:val="auto"/>
          <w:szCs w:val="28"/>
          <w:highlight w:val="none"/>
        </w:rPr>
        <w:fldChar w:fldCharType="end"/>
      </w:r>
    </w:p>
    <w:p w14:paraId="4B143A44">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_Toc1123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（一）报告范围</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_Toc1123 \h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7F986E35">
      <w:pPr>
        <w:pStyle w:val="7"/>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_Toc20885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bCs/>
          <w:color w:val="auto"/>
          <w:szCs w:val="30"/>
          <w:highlight w:val="none"/>
        </w:rPr>
        <w:t>1.报告组织范围</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_Toc20885 \h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317F67F8">
      <w:pPr>
        <w:pStyle w:val="7"/>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_Toc17488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bCs/>
          <w:color w:val="auto"/>
          <w:szCs w:val="30"/>
          <w:highlight w:val="none"/>
        </w:rPr>
        <w:t>2.报告时间范围</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_Toc17488 \h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07705236">
      <w:pPr>
        <w:pStyle w:val="7"/>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_Toc28247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bCs/>
          <w:color w:val="auto"/>
          <w:szCs w:val="30"/>
          <w:highlight w:val="none"/>
        </w:rPr>
        <w:t>3.报告发布周期</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_Toc28247 \h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531CD2EA">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_Toc30217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（二）报告采用称谓</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_Toc30217 \h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63F933FC">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_Toc26703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（三）编制依据</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_Toc26703 \h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72319D3A">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_Toc25948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（四）编制原则</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_Toc25948 \h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6D159155">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_Toc25291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（五）数据与信息说明</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_Toc25291 \h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23489581">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_Toc31789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（六）报告指代说明</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_Toc31789 \h </w:instrText>
      </w:r>
      <w:r>
        <w:rPr>
          <w:rFonts w:hint="eastAsia" w:ascii="黑体" w:hAnsi="黑体" w:eastAsia="黑体" w:cs="黑体"/>
          <w:color w:val="auto"/>
        </w:rPr>
        <w:fldChar w:fldCharType="separate"/>
      </w:r>
      <w:r>
        <w:rPr>
          <w:rFonts w:hint="eastAsia" w:ascii="黑体" w:hAnsi="黑体" w:eastAsia="黑体" w:cs="黑体"/>
          <w:color w:val="auto"/>
        </w:rPr>
        <w:t>2</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3BA444DC">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_Toc27813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（七）发布形式</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_Toc27813 \h </w:instrText>
      </w:r>
      <w:r>
        <w:rPr>
          <w:rFonts w:hint="eastAsia" w:ascii="黑体" w:hAnsi="黑体" w:eastAsia="黑体" w:cs="黑体"/>
          <w:color w:val="auto"/>
        </w:rPr>
        <w:fldChar w:fldCharType="separate"/>
      </w:r>
      <w:r>
        <w:rPr>
          <w:rFonts w:hint="eastAsia" w:ascii="黑体" w:hAnsi="黑体" w:eastAsia="黑体" w:cs="黑体"/>
          <w:color w:val="auto"/>
        </w:rPr>
        <w:t>2</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24D06BB3">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_Toc20565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（八）联系方式</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_Toc20565 \h </w:instrText>
      </w:r>
      <w:r>
        <w:rPr>
          <w:rFonts w:hint="eastAsia" w:ascii="黑体" w:hAnsi="黑体" w:eastAsia="黑体" w:cs="黑体"/>
          <w:color w:val="auto"/>
        </w:rPr>
        <w:fldChar w:fldCharType="separate"/>
      </w:r>
      <w:r>
        <w:rPr>
          <w:rFonts w:hint="eastAsia" w:ascii="黑体" w:hAnsi="黑体" w:eastAsia="黑体" w:cs="黑体"/>
          <w:color w:val="auto"/>
        </w:rPr>
        <w:t>2</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10663E89">
      <w:pPr>
        <w:pStyle w:val="11"/>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_Toc1330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highlight w:val="none"/>
        </w:rPr>
        <w:t>二、年度概况</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_Toc1330 \h </w:instrText>
      </w:r>
      <w:r>
        <w:rPr>
          <w:rFonts w:hint="eastAsia" w:ascii="黑体" w:hAnsi="黑体" w:eastAsia="黑体" w:cs="黑体"/>
          <w:color w:val="auto"/>
        </w:rPr>
        <w:fldChar w:fldCharType="separate"/>
      </w:r>
      <w:r>
        <w:rPr>
          <w:rFonts w:hint="eastAsia" w:ascii="黑体" w:hAnsi="黑体" w:eastAsia="黑体" w:cs="黑体"/>
          <w:color w:val="auto"/>
        </w:rPr>
        <w:t>3</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3D751598">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_Toc2368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（一）总体概况</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_Toc2368 \h </w:instrText>
      </w:r>
      <w:r>
        <w:rPr>
          <w:rFonts w:hint="eastAsia" w:ascii="黑体" w:hAnsi="黑体" w:eastAsia="黑体" w:cs="黑体"/>
          <w:color w:val="auto"/>
        </w:rPr>
        <w:fldChar w:fldCharType="separate"/>
      </w:r>
      <w:r>
        <w:rPr>
          <w:rFonts w:hint="eastAsia" w:ascii="黑体" w:hAnsi="黑体" w:eastAsia="黑体" w:cs="黑体"/>
          <w:color w:val="auto"/>
        </w:rPr>
        <w:t>3</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75AC1D5B">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_Toc3541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（二）关键成果与绩效</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_Toc3541 \h </w:instrText>
      </w:r>
      <w:r>
        <w:rPr>
          <w:rFonts w:hint="eastAsia" w:ascii="黑体" w:hAnsi="黑体" w:eastAsia="黑体" w:cs="黑体"/>
          <w:color w:val="auto"/>
        </w:rPr>
        <w:fldChar w:fldCharType="separate"/>
      </w:r>
      <w:r>
        <w:rPr>
          <w:rFonts w:hint="eastAsia" w:ascii="黑体" w:hAnsi="黑体" w:eastAsia="黑体" w:cs="黑体"/>
          <w:color w:val="auto"/>
        </w:rPr>
        <w:t>4</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4B8EF7C7">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_Toc9167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（三）战略规划</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_Toc9167 \h </w:instrText>
      </w:r>
      <w:r>
        <w:rPr>
          <w:rFonts w:hint="eastAsia" w:ascii="黑体" w:hAnsi="黑体" w:eastAsia="黑体" w:cs="黑体"/>
          <w:color w:val="auto"/>
        </w:rPr>
        <w:fldChar w:fldCharType="separate"/>
      </w:r>
      <w:r>
        <w:rPr>
          <w:rFonts w:hint="eastAsia" w:ascii="黑体" w:hAnsi="黑体" w:eastAsia="黑体" w:cs="黑体"/>
          <w:color w:val="auto"/>
        </w:rPr>
        <w:t>5</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026332F2">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_Toc13539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（四）目标愿景</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_Toc13539 \h </w:instrText>
      </w:r>
      <w:r>
        <w:rPr>
          <w:rFonts w:hint="eastAsia" w:ascii="黑体" w:hAnsi="黑体" w:eastAsia="黑体" w:cs="黑体"/>
          <w:color w:val="auto"/>
        </w:rPr>
        <w:fldChar w:fldCharType="separate"/>
      </w:r>
      <w:r>
        <w:rPr>
          <w:rFonts w:hint="eastAsia" w:ascii="黑体" w:hAnsi="黑体" w:eastAsia="黑体" w:cs="黑体"/>
          <w:color w:val="auto"/>
        </w:rPr>
        <w:t>5</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7FBB3068">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_Toc3600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（五）任务举措</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_Toc3600 \h </w:instrText>
      </w:r>
      <w:r>
        <w:rPr>
          <w:rFonts w:hint="eastAsia" w:ascii="黑体" w:hAnsi="黑体" w:eastAsia="黑体" w:cs="黑体"/>
          <w:color w:val="auto"/>
        </w:rPr>
        <w:fldChar w:fldCharType="separate"/>
      </w:r>
      <w:r>
        <w:rPr>
          <w:rFonts w:hint="eastAsia" w:ascii="黑体" w:hAnsi="黑体" w:eastAsia="黑体" w:cs="黑体"/>
          <w:color w:val="auto"/>
        </w:rPr>
        <w:t>7</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71EF65DB">
      <w:pPr>
        <w:pStyle w:val="11"/>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_Toc3329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highlight w:val="none"/>
        </w:rPr>
        <w:t>三、环境相关治理结构</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_Toc3329 \h </w:instrText>
      </w:r>
      <w:r>
        <w:rPr>
          <w:rFonts w:hint="eastAsia" w:ascii="黑体" w:hAnsi="黑体" w:eastAsia="黑体" w:cs="黑体"/>
          <w:color w:val="auto"/>
        </w:rPr>
        <w:fldChar w:fldCharType="separate"/>
      </w:r>
      <w:r>
        <w:rPr>
          <w:rFonts w:hint="eastAsia" w:ascii="黑体" w:hAnsi="黑体" w:eastAsia="黑体" w:cs="黑体"/>
          <w:color w:val="auto"/>
        </w:rPr>
        <w:t>8</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4F04D94B">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_Toc8631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（一）组织体系</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_Toc8631 \h </w:instrText>
      </w:r>
      <w:r>
        <w:rPr>
          <w:rFonts w:hint="eastAsia" w:ascii="黑体" w:hAnsi="黑体" w:eastAsia="黑体" w:cs="黑体"/>
          <w:color w:val="auto"/>
        </w:rPr>
        <w:fldChar w:fldCharType="separate"/>
      </w:r>
      <w:r>
        <w:rPr>
          <w:rFonts w:hint="eastAsia" w:ascii="黑体" w:hAnsi="黑体" w:eastAsia="黑体" w:cs="黑体"/>
          <w:color w:val="auto"/>
        </w:rPr>
        <w:t>9</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0BA57C5A">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_Toc23590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（二）机构设置</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_Toc23590 \h </w:instrText>
      </w:r>
      <w:r>
        <w:rPr>
          <w:rFonts w:hint="eastAsia" w:ascii="黑体" w:hAnsi="黑体" w:eastAsia="黑体" w:cs="黑体"/>
          <w:color w:val="auto"/>
        </w:rPr>
        <w:fldChar w:fldCharType="separate"/>
      </w:r>
      <w:r>
        <w:rPr>
          <w:rFonts w:hint="eastAsia" w:ascii="黑体" w:hAnsi="黑体" w:eastAsia="黑体" w:cs="黑体"/>
          <w:color w:val="auto"/>
        </w:rPr>
        <w:t>9</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75C8857B">
      <w:pPr>
        <w:pStyle w:val="11"/>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_Toc31632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highlight w:val="none"/>
        </w:rPr>
        <w:t>四、环境相关政策制度</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_Toc31632 \h </w:instrText>
      </w:r>
      <w:r>
        <w:rPr>
          <w:rFonts w:hint="eastAsia" w:ascii="黑体" w:hAnsi="黑体" w:eastAsia="黑体" w:cs="黑体"/>
          <w:color w:val="auto"/>
        </w:rPr>
        <w:fldChar w:fldCharType="separate"/>
      </w:r>
      <w:r>
        <w:rPr>
          <w:rFonts w:hint="eastAsia" w:ascii="黑体" w:hAnsi="黑体" w:eastAsia="黑体" w:cs="黑体"/>
          <w:color w:val="auto"/>
        </w:rPr>
        <w:t>10</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5E5CBA3A">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_Toc18399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（一）绿色金融发展规划</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_Toc18399 \h </w:instrText>
      </w:r>
      <w:r>
        <w:rPr>
          <w:rFonts w:hint="eastAsia" w:ascii="黑体" w:hAnsi="黑体" w:eastAsia="黑体" w:cs="黑体"/>
          <w:color w:val="auto"/>
        </w:rPr>
        <w:fldChar w:fldCharType="separate"/>
      </w:r>
      <w:r>
        <w:rPr>
          <w:rFonts w:hint="eastAsia" w:ascii="黑体" w:hAnsi="黑体" w:eastAsia="黑体" w:cs="黑体"/>
          <w:color w:val="auto"/>
        </w:rPr>
        <w:t>10</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279AF8F5">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_Toc24376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（二）绿色金融服务体系建设</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_Toc24376 \h </w:instrText>
      </w:r>
      <w:r>
        <w:rPr>
          <w:rFonts w:hint="eastAsia" w:ascii="黑体" w:hAnsi="黑体" w:eastAsia="黑体" w:cs="黑体"/>
          <w:color w:val="auto"/>
        </w:rPr>
        <w:fldChar w:fldCharType="separate"/>
      </w:r>
      <w:r>
        <w:rPr>
          <w:rFonts w:hint="eastAsia" w:ascii="黑体" w:hAnsi="黑体" w:eastAsia="黑体" w:cs="黑体"/>
          <w:color w:val="auto"/>
        </w:rPr>
        <w:t>10</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3B611A50">
      <w:pPr>
        <w:pStyle w:val="11"/>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_Toc28814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highlight w:val="none"/>
        </w:rPr>
        <w:t>五、环境相关产品与服务创新</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_Toc28814 \h </w:instrText>
      </w:r>
      <w:r>
        <w:rPr>
          <w:rFonts w:hint="eastAsia" w:ascii="黑体" w:hAnsi="黑体" w:eastAsia="黑体" w:cs="黑体"/>
          <w:color w:val="auto"/>
        </w:rPr>
        <w:fldChar w:fldCharType="separate"/>
      </w:r>
      <w:r>
        <w:rPr>
          <w:rFonts w:hint="eastAsia" w:ascii="黑体" w:hAnsi="黑体" w:eastAsia="黑体" w:cs="黑体"/>
          <w:color w:val="auto"/>
        </w:rPr>
        <w:t>12</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6A906754">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_Toc4572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（一）创新特色信贷产品体系</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_Toc4572 \h </w:instrText>
      </w:r>
      <w:r>
        <w:rPr>
          <w:rFonts w:hint="eastAsia" w:ascii="黑体" w:hAnsi="黑体" w:eastAsia="黑体" w:cs="黑体"/>
          <w:color w:val="auto"/>
        </w:rPr>
        <w:fldChar w:fldCharType="separate"/>
      </w:r>
      <w:r>
        <w:rPr>
          <w:rFonts w:hint="eastAsia" w:ascii="黑体" w:hAnsi="黑体" w:eastAsia="黑体" w:cs="黑体"/>
          <w:color w:val="auto"/>
        </w:rPr>
        <w:t>12</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6A4C01A1">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_Toc23475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（二）创新信贷服务工作机制</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_Toc23475 \h </w:instrText>
      </w:r>
      <w:r>
        <w:rPr>
          <w:rFonts w:hint="eastAsia" w:ascii="黑体" w:hAnsi="黑体" w:eastAsia="黑体" w:cs="黑体"/>
          <w:color w:val="auto"/>
        </w:rPr>
        <w:fldChar w:fldCharType="separate"/>
      </w:r>
      <w:r>
        <w:rPr>
          <w:rFonts w:hint="eastAsia" w:ascii="黑体" w:hAnsi="黑体" w:eastAsia="黑体" w:cs="黑体"/>
          <w:color w:val="auto"/>
        </w:rPr>
        <w:t>12</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694B904C">
      <w:pPr>
        <w:pStyle w:val="11"/>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_Toc11228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highlight w:val="none"/>
        </w:rPr>
        <w:t>六、环境风险与机遇</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_Toc11228 \h </w:instrText>
      </w:r>
      <w:r>
        <w:rPr>
          <w:rFonts w:hint="eastAsia" w:ascii="黑体" w:hAnsi="黑体" w:eastAsia="黑体" w:cs="黑体"/>
          <w:color w:val="auto"/>
        </w:rPr>
        <w:fldChar w:fldCharType="separate"/>
      </w:r>
      <w:r>
        <w:rPr>
          <w:rFonts w:hint="eastAsia" w:ascii="黑体" w:hAnsi="黑体" w:eastAsia="黑体" w:cs="黑体"/>
          <w:color w:val="auto"/>
        </w:rPr>
        <w:t>13</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015A2423">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_Toc19849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（一）环境风险影响</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_Toc19849 \h </w:instrText>
      </w:r>
      <w:r>
        <w:rPr>
          <w:rFonts w:hint="eastAsia" w:ascii="黑体" w:hAnsi="黑体" w:eastAsia="黑体" w:cs="黑体"/>
          <w:color w:val="auto"/>
        </w:rPr>
        <w:fldChar w:fldCharType="separate"/>
      </w:r>
      <w:r>
        <w:rPr>
          <w:rFonts w:hint="eastAsia" w:ascii="黑体" w:hAnsi="黑体" w:eastAsia="黑体" w:cs="黑体"/>
          <w:color w:val="auto"/>
        </w:rPr>
        <w:t>13</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7E7BF992">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_Toc8312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（二）环境机遇分析</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_Toc8312 \h </w:instrText>
      </w:r>
      <w:r>
        <w:rPr>
          <w:rFonts w:hint="eastAsia" w:ascii="黑体" w:hAnsi="黑体" w:eastAsia="黑体" w:cs="黑体"/>
          <w:color w:val="auto"/>
        </w:rPr>
        <w:fldChar w:fldCharType="separate"/>
      </w:r>
      <w:r>
        <w:rPr>
          <w:rFonts w:hint="eastAsia" w:ascii="黑体" w:hAnsi="黑体" w:eastAsia="黑体" w:cs="黑体"/>
          <w:color w:val="auto"/>
        </w:rPr>
        <w:t>15</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4E90C797">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_Toc29818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（三）环境风险管理及流程</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_Toc29818 \h </w:instrText>
      </w:r>
      <w:r>
        <w:rPr>
          <w:rFonts w:hint="eastAsia" w:ascii="黑体" w:hAnsi="黑体" w:eastAsia="黑体" w:cs="黑体"/>
          <w:color w:val="auto"/>
        </w:rPr>
        <w:fldChar w:fldCharType="separate"/>
      </w:r>
      <w:r>
        <w:rPr>
          <w:rFonts w:hint="eastAsia" w:ascii="黑体" w:hAnsi="黑体" w:eastAsia="黑体" w:cs="黑体"/>
          <w:color w:val="auto"/>
        </w:rPr>
        <w:t>15</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42632BFF">
      <w:pPr>
        <w:pStyle w:val="11"/>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_Toc29684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highlight w:val="none"/>
        </w:rPr>
        <w:t>七、经营活动的环境影响</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_Toc29684 \h </w:instrText>
      </w:r>
      <w:r>
        <w:rPr>
          <w:rFonts w:hint="eastAsia" w:ascii="黑体" w:hAnsi="黑体" w:eastAsia="黑体" w:cs="黑体"/>
          <w:color w:val="auto"/>
        </w:rPr>
        <w:fldChar w:fldCharType="separate"/>
      </w:r>
      <w:r>
        <w:rPr>
          <w:rFonts w:hint="eastAsia" w:ascii="黑体" w:hAnsi="黑体" w:eastAsia="黑体" w:cs="黑体"/>
          <w:color w:val="auto"/>
        </w:rPr>
        <w:t>16</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1CD2784B">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_Toc7477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（一）核算范围与排放源识别</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_Toc7477 \h </w:instrText>
      </w:r>
      <w:r>
        <w:rPr>
          <w:rFonts w:hint="eastAsia" w:ascii="黑体" w:hAnsi="黑体" w:eastAsia="黑体" w:cs="黑体"/>
          <w:color w:val="auto"/>
        </w:rPr>
        <w:fldChar w:fldCharType="separate"/>
      </w:r>
      <w:r>
        <w:rPr>
          <w:rFonts w:hint="eastAsia" w:ascii="黑体" w:hAnsi="黑体" w:eastAsia="黑体" w:cs="黑体"/>
          <w:color w:val="auto"/>
        </w:rPr>
        <w:t>17</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5B591802">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_Toc7128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（二）温室气体种类及GWP的确定</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_Toc7128 \h </w:instrText>
      </w:r>
      <w:r>
        <w:rPr>
          <w:rFonts w:hint="eastAsia" w:ascii="黑体" w:hAnsi="黑体" w:eastAsia="黑体" w:cs="黑体"/>
          <w:color w:val="auto"/>
        </w:rPr>
        <w:fldChar w:fldCharType="separate"/>
      </w:r>
      <w:r>
        <w:rPr>
          <w:rFonts w:hint="eastAsia" w:ascii="黑体" w:hAnsi="黑体" w:eastAsia="黑体" w:cs="黑体"/>
          <w:color w:val="auto"/>
        </w:rPr>
        <w:t>18</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33E731BA">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_Toc7272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（四）经营活动对环境影响分析</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_Toc7272 \h </w:instrText>
      </w:r>
      <w:r>
        <w:rPr>
          <w:rFonts w:hint="eastAsia" w:ascii="黑体" w:hAnsi="黑体" w:eastAsia="黑体" w:cs="黑体"/>
          <w:color w:val="auto"/>
        </w:rPr>
        <w:fldChar w:fldCharType="separate"/>
      </w:r>
      <w:r>
        <w:rPr>
          <w:rFonts w:hint="eastAsia" w:ascii="黑体" w:hAnsi="黑体" w:eastAsia="黑体" w:cs="黑体"/>
          <w:color w:val="auto"/>
        </w:rPr>
        <w:t>19</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1864498A">
      <w:pPr>
        <w:pStyle w:val="11"/>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_Toc8761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highlight w:val="none"/>
        </w:rPr>
        <w:t>八、数据梳理、校验及保护</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_Toc8761 \h </w:instrText>
      </w:r>
      <w:r>
        <w:rPr>
          <w:rFonts w:hint="eastAsia" w:ascii="黑体" w:hAnsi="黑体" w:eastAsia="黑体" w:cs="黑体"/>
          <w:color w:val="auto"/>
        </w:rPr>
        <w:fldChar w:fldCharType="separate"/>
      </w:r>
      <w:r>
        <w:rPr>
          <w:rFonts w:hint="eastAsia" w:ascii="黑体" w:hAnsi="黑体" w:eastAsia="黑体" w:cs="黑体"/>
          <w:color w:val="auto"/>
        </w:rPr>
        <w:t>20</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72C5D0F4">
      <w:pPr>
        <w:pStyle w:val="11"/>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_Toc17269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highlight w:val="none"/>
          <w:lang w:eastAsia="zh-CN"/>
        </w:rPr>
        <w:t>九</w:t>
      </w:r>
      <w:r>
        <w:rPr>
          <w:rFonts w:hint="eastAsia" w:ascii="黑体" w:hAnsi="黑体" w:eastAsia="黑体" w:cs="黑体"/>
          <w:color w:val="auto"/>
          <w:highlight w:val="none"/>
        </w:rPr>
        <w:t>、绿色金融产品创新实践</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_Toc17269 \h </w:instrText>
      </w:r>
      <w:r>
        <w:rPr>
          <w:rFonts w:hint="eastAsia" w:ascii="黑体" w:hAnsi="黑体" w:eastAsia="黑体" w:cs="黑体"/>
          <w:color w:val="auto"/>
        </w:rPr>
        <w:fldChar w:fldCharType="separate"/>
      </w:r>
      <w:r>
        <w:rPr>
          <w:rFonts w:hint="eastAsia" w:ascii="黑体" w:hAnsi="黑体" w:eastAsia="黑体" w:cs="黑体"/>
          <w:color w:val="auto"/>
        </w:rPr>
        <w:t>21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457C47FB">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_Toc11302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（一）创新绿色金融产品服务</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_Toc11302 \h </w:instrText>
      </w:r>
      <w:r>
        <w:rPr>
          <w:rFonts w:hint="eastAsia" w:ascii="黑体" w:hAnsi="黑体" w:eastAsia="黑体" w:cs="黑体"/>
          <w:color w:val="auto"/>
        </w:rPr>
        <w:fldChar w:fldCharType="separate"/>
      </w:r>
      <w:r>
        <w:rPr>
          <w:rFonts w:hint="eastAsia" w:ascii="黑体" w:hAnsi="黑体" w:eastAsia="黑体" w:cs="黑体"/>
          <w:color w:val="auto"/>
        </w:rPr>
        <w:t>21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44385055">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_Toc8085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（二）拓展绿色企业抵质押范围</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_Toc8085 \h </w:instrText>
      </w:r>
      <w:r>
        <w:rPr>
          <w:rFonts w:hint="eastAsia" w:ascii="黑体" w:hAnsi="黑体" w:eastAsia="黑体" w:cs="黑体"/>
          <w:color w:val="auto"/>
        </w:rPr>
        <w:fldChar w:fldCharType="separate"/>
      </w:r>
      <w:r>
        <w:rPr>
          <w:rFonts w:hint="eastAsia" w:ascii="黑体" w:hAnsi="黑体" w:eastAsia="黑体" w:cs="黑体"/>
          <w:color w:val="auto"/>
        </w:rPr>
        <w:t>21</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0F8752C3">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_Toc17587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（三）建设绿色支行</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_Toc17587 \h </w:instrText>
      </w:r>
      <w:r>
        <w:rPr>
          <w:rFonts w:hint="eastAsia" w:ascii="黑体" w:hAnsi="黑体" w:eastAsia="黑体" w:cs="黑体"/>
          <w:color w:val="auto"/>
        </w:rPr>
        <w:fldChar w:fldCharType="separate"/>
      </w:r>
      <w:r>
        <w:rPr>
          <w:rFonts w:hint="eastAsia" w:ascii="黑体" w:hAnsi="黑体" w:eastAsia="黑体" w:cs="黑体"/>
          <w:color w:val="auto"/>
        </w:rPr>
        <w:t>22</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705B3C26">
      <w:pPr>
        <w:pStyle w:val="13"/>
        <w:tabs>
          <w:tab w:val="right" w:leader="dot" w:pos="8788"/>
        </w:tabs>
        <w:rPr>
          <w:rFonts w:hint="eastAsia" w:ascii="黑体" w:hAnsi="黑体" w:eastAsia="黑体" w:cs="黑体"/>
          <w:color w:val="auto"/>
        </w:rPr>
      </w:pPr>
      <w:r>
        <w:rPr>
          <w:rFonts w:hint="eastAsia" w:ascii="黑体" w:hAnsi="黑体" w:eastAsia="黑体" w:cs="黑体"/>
          <w:bCs/>
          <w:color w:val="auto"/>
          <w:szCs w:val="28"/>
          <w:highlight w:val="none"/>
          <w:lang w:val="zh-CN"/>
        </w:rPr>
        <w:fldChar w:fldCharType="begin"/>
      </w:r>
      <w:r>
        <w:rPr>
          <w:rFonts w:hint="eastAsia" w:ascii="黑体" w:hAnsi="黑体" w:eastAsia="黑体" w:cs="黑体"/>
          <w:bCs/>
          <w:color w:val="auto"/>
          <w:szCs w:val="28"/>
          <w:highlight w:val="none"/>
          <w:lang w:val="zh-CN"/>
        </w:rPr>
        <w:instrText xml:space="preserve"> HYPERLINK \l _Toc32581 </w:instrText>
      </w:r>
      <w:r>
        <w:rPr>
          <w:rFonts w:hint="eastAsia" w:ascii="黑体" w:hAnsi="黑体" w:eastAsia="黑体" w:cs="黑体"/>
          <w:bCs/>
          <w:color w:val="auto"/>
          <w:szCs w:val="28"/>
          <w:highlight w:val="none"/>
          <w:lang w:val="zh-CN"/>
        </w:rPr>
        <w:fldChar w:fldCharType="separate"/>
      </w:r>
      <w:r>
        <w:rPr>
          <w:rFonts w:hint="eastAsia" w:ascii="黑体" w:hAnsi="黑体" w:eastAsia="黑体" w:cs="黑体"/>
          <w:color w:val="auto"/>
          <w:szCs w:val="30"/>
          <w:highlight w:val="none"/>
        </w:rPr>
        <w:t>（四）未来展望</w:t>
      </w:r>
      <w:r>
        <w:rPr>
          <w:rFonts w:hint="eastAsia" w:ascii="黑体" w:hAnsi="黑体" w:eastAsia="黑体" w:cs="黑体"/>
          <w:color w:val="auto"/>
        </w:rPr>
        <w:tab/>
      </w:r>
      <w:r>
        <w:rPr>
          <w:rFonts w:hint="eastAsia" w:ascii="黑体" w:hAnsi="黑体" w:eastAsia="黑体" w:cs="黑体"/>
          <w:color w:val="auto"/>
        </w:rPr>
        <w:fldChar w:fldCharType="begin"/>
      </w:r>
      <w:r>
        <w:rPr>
          <w:rFonts w:hint="eastAsia" w:ascii="黑体" w:hAnsi="黑体" w:eastAsia="黑体" w:cs="黑体"/>
          <w:color w:val="auto"/>
        </w:rPr>
        <w:instrText xml:space="preserve"> PAGEREF _Toc32581 \h </w:instrText>
      </w:r>
      <w:r>
        <w:rPr>
          <w:rFonts w:hint="eastAsia" w:ascii="黑体" w:hAnsi="黑体" w:eastAsia="黑体" w:cs="黑体"/>
          <w:color w:val="auto"/>
        </w:rPr>
        <w:fldChar w:fldCharType="separate"/>
      </w:r>
      <w:r>
        <w:rPr>
          <w:rFonts w:hint="eastAsia" w:ascii="黑体" w:hAnsi="黑体" w:eastAsia="黑体" w:cs="黑体"/>
          <w:color w:val="auto"/>
        </w:rPr>
        <w:t>22</w:t>
      </w:r>
      <w:r>
        <w:rPr>
          <w:rFonts w:hint="eastAsia" w:ascii="黑体" w:hAnsi="黑体" w:eastAsia="黑体" w:cs="黑体"/>
          <w:color w:val="auto"/>
        </w:rPr>
        <w:fldChar w:fldCharType="end"/>
      </w:r>
      <w:r>
        <w:rPr>
          <w:rFonts w:hint="eastAsia" w:ascii="黑体" w:hAnsi="黑体" w:eastAsia="黑体" w:cs="黑体"/>
          <w:bCs/>
          <w:color w:val="auto"/>
          <w:szCs w:val="28"/>
          <w:highlight w:val="none"/>
          <w:lang w:val="zh-CN"/>
        </w:rPr>
        <w:fldChar w:fldCharType="end"/>
      </w:r>
    </w:p>
    <w:p w14:paraId="72FEF520">
      <w:pPr>
        <w:pageBreakBefore w:val="0"/>
        <w:kinsoku/>
        <w:wordWrap/>
        <w:overflowPunct/>
        <w:topLinePunct w:val="0"/>
        <w:bidi w:val="0"/>
        <w:adjustRightInd/>
        <w:snapToGrid/>
        <w:spacing w:line="240" w:lineRule="auto"/>
        <w:ind w:left="0" w:leftChars="0"/>
        <w:rPr>
          <w:rFonts w:hint="eastAsia" w:ascii="黑体" w:hAnsi="黑体" w:eastAsia="黑体" w:cs="黑体"/>
          <w:color w:val="auto"/>
          <w:highlight w:val="none"/>
        </w:rPr>
      </w:pPr>
      <w:r>
        <w:rPr>
          <w:rFonts w:hint="eastAsia" w:ascii="黑体" w:hAnsi="黑体" w:eastAsia="黑体" w:cs="黑体"/>
          <w:bCs/>
          <w:color w:val="auto"/>
          <w:szCs w:val="28"/>
          <w:highlight w:val="none"/>
          <w:lang w:val="zh-CN"/>
        </w:rPr>
        <w:fldChar w:fldCharType="end"/>
      </w:r>
    </w:p>
    <w:p w14:paraId="37E173BB">
      <w:pPr>
        <w:pStyle w:val="2"/>
        <w:pageBreakBefore w:val="0"/>
        <w:widowControl w:val="0"/>
        <w:kinsoku/>
        <w:wordWrap/>
        <w:overflowPunct/>
        <w:topLinePunct w:val="0"/>
        <w:autoSpaceDE/>
        <w:autoSpaceDN/>
        <w:bidi w:val="0"/>
        <w:adjustRightInd/>
        <w:snapToGrid/>
        <w:spacing w:before="0" w:after="0" w:line="560" w:lineRule="exact"/>
        <w:ind w:left="0" w:leftChars="0"/>
        <w:textAlignment w:val="auto"/>
        <w:rPr>
          <w:rFonts w:hint="eastAsia" w:ascii="黑体" w:hAnsi="黑体" w:eastAsia="黑体" w:cs="黑体"/>
          <w:b w:val="0"/>
          <w:color w:val="auto"/>
          <w:sz w:val="32"/>
          <w:highlight w:val="none"/>
        </w:rPr>
        <w:sectPr>
          <w:footerReference r:id="rId5" w:type="default"/>
          <w:pgSz w:w="11906" w:h="16838"/>
          <w:pgMar w:top="2154" w:right="1531" w:bottom="2098" w:left="158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774EB842">
      <w:pPr>
        <w:pStyle w:val="2"/>
        <w:pageBreakBefore w:val="0"/>
        <w:widowControl w:val="0"/>
        <w:kinsoku/>
        <w:wordWrap/>
        <w:overflowPunct/>
        <w:topLinePunct w:val="0"/>
        <w:autoSpaceDE/>
        <w:autoSpaceDN/>
        <w:bidi w:val="0"/>
        <w:adjustRightInd/>
        <w:snapToGrid/>
        <w:spacing w:before="0" w:after="0" w:line="560" w:lineRule="exact"/>
        <w:ind w:left="0" w:leftChars="0" w:firstLine="640" w:firstLineChars="200"/>
        <w:textAlignment w:val="auto"/>
        <w:rPr>
          <w:rFonts w:hint="eastAsia" w:ascii="黑体" w:hAnsi="黑体" w:eastAsia="黑体" w:cs="黑体"/>
          <w:b w:val="0"/>
          <w:color w:val="auto"/>
          <w:sz w:val="32"/>
          <w:highlight w:val="none"/>
        </w:rPr>
      </w:pPr>
      <w:bookmarkStart w:id="0" w:name="_Toc14690"/>
      <w:r>
        <w:rPr>
          <w:rFonts w:hint="eastAsia" w:ascii="黑体" w:hAnsi="黑体" w:eastAsia="黑体" w:cs="黑体"/>
          <w:b w:val="0"/>
          <w:color w:val="auto"/>
          <w:sz w:val="32"/>
          <w:highlight w:val="none"/>
        </w:rPr>
        <w:t>一、报告编制说明</w:t>
      </w:r>
      <w:bookmarkEnd w:id="0"/>
    </w:p>
    <w:p w14:paraId="122E6998">
      <w:pPr>
        <w:pStyle w:val="3"/>
        <w:pageBreakBefore w:val="0"/>
        <w:widowControl w:val="0"/>
        <w:kinsoku/>
        <w:wordWrap/>
        <w:overflowPunct/>
        <w:topLinePunct w:val="0"/>
        <w:autoSpaceDE/>
        <w:autoSpaceDN/>
        <w:bidi w:val="0"/>
        <w:adjustRightInd/>
        <w:snapToGrid/>
        <w:spacing w:before="0" w:after="0" w:line="560" w:lineRule="exact"/>
        <w:ind w:left="0" w:leftChars="0" w:firstLine="602" w:firstLineChars="200"/>
        <w:textAlignment w:val="auto"/>
        <w:rPr>
          <w:rFonts w:hint="eastAsia" w:ascii="黑体" w:hAnsi="黑体" w:eastAsia="黑体" w:cs="黑体"/>
          <w:color w:val="auto"/>
          <w:sz w:val="30"/>
          <w:szCs w:val="30"/>
          <w:highlight w:val="none"/>
        </w:rPr>
      </w:pPr>
      <w:bookmarkStart w:id="1" w:name="_Toc1123"/>
      <w:r>
        <w:rPr>
          <w:rFonts w:hint="eastAsia" w:ascii="黑体" w:hAnsi="黑体" w:eastAsia="黑体" w:cs="黑体"/>
          <w:color w:val="auto"/>
          <w:sz w:val="30"/>
          <w:szCs w:val="30"/>
          <w:highlight w:val="none"/>
        </w:rPr>
        <w:t>（一）报告范围</w:t>
      </w:r>
      <w:bookmarkEnd w:id="1"/>
    </w:p>
    <w:p w14:paraId="068EECC2">
      <w:pPr>
        <w:pageBreakBefore w:val="0"/>
        <w:widowControl w:val="0"/>
        <w:kinsoku/>
        <w:wordWrap/>
        <w:overflowPunct/>
        <w:topLinePunct w:val="0"/>
        <w:autoSpaceDE/>
        <w:autoSpaceDN/>
        <w:bidi w:val="0"/>
        <w:adjustRightInd/>
        <w:snapToGrid/>
        <w:spacing w:line="560" w:lineRule="exact"/>
        <w:ind w:left="0" w:leftChars="0" w:firstLine="602" w:firstLineChars="200"/>
        <w:textAlignment w:val="auto"/>
        <w:outlineLvl w:val="2"/>
        <w:rPr>
          <w:rFonts w:hint="eastAsia" w:ascii="黑体" w:hAnsi="黑体" w:eastAsia="黑体" w:cs="黑体"/>
          <w:b/>
          <w:bCs/>
          <w:color w:val="auto"/>
          <w:sz w:val="30"/>
          <w:szCs w:val="30"/>
          <w:highlight w:val="none"/>
        </w:rPr>
      </w:pPr>
      <w:bookmarkStart w:id="2" w:name="_Toc20885"/>
      <w:bookmarkStart w:id="3" w:name="_Toc11789"/>
      <w:r>
        <w:rPr>
          <w:rFonts w:hint="eastAsia" w:ascii="黑体" w:hAnsi="黑体" w:eastAsia="黑体" w:cs="黑体"/>
          <w:b/>
          <w:bCs/>
          <w:color w:val="auto"/>
          <w:sz w:val="30"/>
          <w:szCs w:val="30"/>
          <w:highlight w:val="none"/>
        </w:rPr>
        <w:t>1.报告组织范围</w:t>
      </w:r>
      <w:bookmarkEnd w:id="2"/>
      <w:bookmarkEnd w:id="3"/>
    </w:p>
    <w:p w14:paraId="19F27872">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本报告以株洲农村商业银行股份有限公司为主体部分，涵盖本公司总部、辖内分支机构。</w:t>
      </w:r>
    </w:p>
    <w:p w14:paraId="76E0EBF3">
      <w:pPr>
        <w:pageBreakBefore w:val="0"/>
        <w:widowControl w:val="0"/>
        <w:kinsoku/>
        <w:wordWrap/>
        <w:overflowPunct/>
        <w:topLinePunct w:val="0"/>
        <w:autoSpaceDE/>
        <w:autoSpaceDN/>
        <w:bidi w:val="0"/>
        <w:adjustRightInd/>
        <w:snapToGrid/>
        <w:spacing w:line="560" w:lineRule="exact"/>
        <w:ind w:left="0" w:leftChars="0" w:firstLine="602" w:firstLineChars="200"/>
        <w:textAlignment w:val="auto"/>
        <w:outlineLvl w:val="2"/>
        <w:rPr>
          <w:rFonts w:hint="eastAsia" w:ascii="黑体" w:hAnsi="黑体" w:eastAsia="黑体" w:cs="黑体"/>
          <w:b/>
          <w:bCs/>
          <w:color w:val="auto"/>
          <w:sz w:val="30"/>
          <w:szCs w:val="30"/>
          <w:highlight w:val="none"/>
        </w:rPr>
      </w:pPr>
      <w:bookmarkStart w:id="4" w:name="_Toc1380"/>
      <w:bookmarkStart w:id="5" w:name="_Toc17488"/>
      <w:r>
        <w:rPr>
          <w:rFonts w:hint="eastAsia" w:ascii="黑体" w:hAnsi="黑体" w:eastAsia="黑体" w:cs="黑体"/>
          <w:b/>
          <w:bCs/>
          <w:color w:val="auto"/>
          <w:sz w:val="30"/>
          <w:szCs w:val="30"/>
          <w:highlight w:val="none"/>
        </w:rPr>
        <w:t>2.报告时间范围</w:t>
      </w:r>
      <w:bookmarkEnd w:id="4"/>
      <w:bookmarkEnd w:id="5"/>
    </w:p>
    <w:p w14:paraId="5D006E2F">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20</w:t>
      </w:r>
      <w:r>
        <w:rPr>
          <w:rFonts w:hint="eastAsia" w:ascii="黑体" w:hAnsi="黑体" w:eastAsia="黑体" w:cs="黑体"/>
          <w:color w:val="auto"/>
          <w:sz w:val="30"/>
          <w:szCs w:val="30"/>
          <w:highlight w:val="none"/>
          <w:lang w:val="en-US" w:eastAsia="zh-CN"/>
        </w:rPr>
        <w:t>25</w:t>
      </w:r>
      <w:r>
        <w:rPr>
          <w:rFonts w:hint="eastAsia" w:ascii="黑体" w:hAnsi="黑体" w:eastAsia="黑体" w:cs="黑体"/>
          <w:color w:val="auto"/>
          <w:sz w:val="30"/>
          <w:szCs w:val="30"/>
          <w:highlight w:val="none"/>
        </w:rPr>
        <w:t>年1月1日至20</w:t>
      </w:r>
      <w:r>
        <w:rPr>
          <w:rFonts w:hint="eastAsia" w:ascii="黑体" w:hAnsi="黑体" w:eastAsia="黑体" w:cs="黑体"/>
          <w:color w:val="auto"/>
          <w:sz w:val="30"/>
          <w:szCs w:val="30"/>
          <w:highlight w:val="none"/>
          <w:lang w:val="en-US" w:eastAsia="zh-CN"/>
        </w:rPr>
        <w:t>25</w:t>
      </w:r>
      <w:r>
        <w:rPr>
          <w:rFonts w:hint="eastAsia" w:ascii="黑体" w:hAnsi="黑体" w:eastAsia="黑体" w:cs="黑体"/>
          <w:color w:val="auto"/>
          <w:sz w:val="30"/>
          <w:szCs w:val="30"/>
          <w:highlight w:val="none"/>
        </w:rPr>
        <w:t>年12月31日。</w:t>
      </w:r>
    </w:p>
    <w:p w14:paraId="7D4A6A4C">
      <w:pPr>
        <w:pageBreakBefore w:val="0"/>
        <w:widowControl w:val="0"/>
        <w:kinsoku/>
        <w:wordWrap/>
        <w:overflowPunct/>
        <w:topLinePunct w:val="0"/>
        <w:autoSpaceDE/>
        <w:autoSpaceDN/>
        <w:bidi w:val="0"/>
        <w:adjustRightInd/>
        <w:snapToGrid/>
        <w:spacing w:line="560" w:lineRule="exact"/>
        <w:ind w:left="0" w:leftChars="0" w:firstLine="602" w:firstLineChars="200"/>
        <w:textAlignment w:val="auto"/>
        <w:outlineLvl w:val="2"/>
        <w:rPr>
          <w:rFonts w:hint="eastAsia" w:ascii="黑体" w:hAnsi="黑体" w:eastAsia="黑体" w:cs="黑体"/>
          <w:b/>
          <w:bCs/>
          <w:color w:val="auto"/>
          <w:sz w:val="30"/>
          <w:szCs w:val="30"/>
          <w:highlight w:val="none"/>
        </w:rPr>
      </w:pPr>
      <w:bookmarkStart w:id="6" w:name="_Toc30107"/>
      <w:bookmarkStart w:id="7" w:name="_Toc28247"/>
      <w:r>
        <w:rPr>
          <w:rFonts w:hint="eastAsia" w:ascii="黑体" w:hAnsi="黑体" w:eastAsia="黑体" w:cs="黑体"/>
          <w:b/>
          <w:bCs/>
          <w:color w:val="auto"/>
          <w:sz w:val="30"/>
          <w:szCs w:val="30"/>
          <w:highlight w:val="none"/>
        </w:rPr>
        <w:t>3.报告发布周期</w:t>
      </w:r>
      <w:bookmarkEnd w:id="6"/>
      <w:bookmarkEnd w:id="7"/>
    </w:p>
    <w:p w14:paraId="4ACF0949">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本报告为年度报告。</w:t>
      </w:r>
    </w:p>
    <w:p w14:paraId="21A134B8">
      <w:pPr>
        <w:pStyle w:val="3"/>
        <w:pageBreakBefore w:val="0"/>
        <w:widowControl w:val="0"/>
        <w:kinsoku/>
        <w:wordWrap/>
        <w:overflowPunct/>
        <w:topLinePunct w:val="0"/>
        <w:autoSpaceDE/>
        <w:autoSpaceDN/>
        <w:bidi w:val="0"/>
        <w:adjustRightInd/>
        <w:snapToGrid/>
        <w:spacing w:before="0" w:after="0" w:line="560" w:lineRule="exact"/>
        <w:ind w:left="0" w:leftChars="0" w:firstLine="602" w:firstLineChars="200"/>
        <w:textAlignment w:val="auto"/>
        <w:rPr>
          <w:rFonts w:hint="eastAsia" w:ascii="黑体" w:hAnsi="黑体" w:eastAsia="黑体" w:cs="黑体"/>
          <w:color w:val="auto"/>
          <w:sz w:val="30"/>
          <w:szCs w:val="30"/>
          <w:highlight w:val="none"/>
        </w:rPr>
      </w:pPr>
      <w:bookmarkStart w:id="8" w:name="_Toc30217"/>
      <w:r>
        <w:rPr>
          <w:rFonts w:hint="eastAsia" w:ascii="黑体" w:hAnsi="黑体" w:eastAsia="黑体" w:cs="黑体"/>
          <w:color w:val="auto"/>
          <w:sz w:val="30"/>
          <w:szCs w:val="30"/>
          <w:highlight w:val="none"/>
        </w:rPr>
        <w:t>（二）报告采用称谓</w:t>
      </w:r>
      <w:bookmarkEnd w:id="8"/>
      <w:r>
        <w:rPr>
          <w:rFonts w:hint="eastAsia" w:ascii="黑体" w:hAnsi="黑体" w:eastAsia="黑体" w:cs="黑体"/>
          <w:color w:val="auto"/>
          <w:sz w:val="30"/>
          <w:szCs w:val="30"/>
          <w:highlight w:val="none"/>
        </w:rPr>
        <w:tab/>
      </w:r>
    </w:p>
    <w:p w14:paraId="49143CC0">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本报告采用《株洲农村商业银行环境信息报告》名称</w:t>
      </w:r>
      <w:r>
        <w:rPr>
          <w:rFonts w:hint="eastAsia" w:ascii="黑体" w:hAnsi="黑体" w:eastAsia="黑体" w:cs="黑体"/>
          <w:color w:val="auto"/>
          <w:sz w:val="30"/>
          <w:szCs w:val="30"/>
          <w:highlight w:val="none"/>
        </w:rPr>
        <w:t>。</w:t>
      </w:r>
    </w:p>
    <w:p w14:paraId="62683F48">
      <w:pPr>
        <w:pStyle w:val="3"/>
        <w:pageBreakBefore w:val="0"/>
        <w:widowControl w:val="0"/>
        <w:kinsoku/>
        <w:wordWrap/>
        <w:overflowPunct/>
        <w:topLinePunct w:val="0"/>
        <w:autoSpaceDE/>
        <w:autoSpaceDN/>
        <w:bidi w:val="0"/>
        <w:adjustRightInd/>
        <w:snapToGrid/>
        <w:spacing w:before="0" w:after="0" w:line="560" w:lineRule="exact"/>
        <w:ind w:left="0" w:leftChars="0" w:firstLine="602" w:firstLineChars="200"/>
        <w:textAlignment w:val="auto"/>
        <w:rPr>
          <w:rFonts w:hint="eastAsia" w:ascii="黑体" w:hAnsi="黑体" w:eastAsia="黑体" w:cs="黑体"/>
          <w:color w:val="auto"/>
          <w:sz w:val="30"/>
          <w:szCs w:val="30"/>
          <w:highlight w:val="none"/>
        </w:rPr>
      </w:pPr>
      <w:bookmarkStart w:id="9" w:name="_Toc26703"/>
      <w:r>
        <w:rPr>
          <w:rFonts w:hint="eastAsia" w:ascii="黑体" w:hAnsi="黑体" w:eastAsia="黑体" w:cs="黑体"/>
          <w:color w:val="auto"/>
          <w:sz w:val="30"/>
          <w:szCs w:val="30"/>
          <w:highlight w:val="none"/>
        </w:rPr>
        <w:t>（三）编制依据</w:t>
      </w:r>
      <w:bookmarkEnd w:id="9"/>
      <w:r>
        <w:rPr>
          <w:rFonts w:hint="eastAsia" w:ascii="黑体" w:hAnsi="黑体" w:eastAsia="黑体" w:cs="黑体"/>
          <w:color w:val="auto"/>
          <w:sz w:val="30"/>
          <w:szCs w:val="30"/>
          <w:highlight w:val="none"/>
        </w:rPr>
        <w:tab/>
      </w:r>
    </w:p>
    <w:p w14:paraId="087D31ED">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本报告内容遵循中国人民银行2021年7月发布的《金融机构环境信息披露指南》（J</w:t>
      </w:r>
      <w:bookmarkStart w:id="48" w:name="_GoBack"/>
      <w:bookmarkEnd w:id="48"/>
      <w:r>
        <w:rPr>
          <w:rFonts w:hint="eastAsia" w:ascii="黑体" w:hAnsi="黑体" w:eastAsia="黑体" w:cs="黑体"/>
          <w:color w:val="auto"/>
          <w:sz w:val="30"/>
          <w:szCs w:val="30"/>
          <w:highlight w:val="none"/>
        </w:rPr>
        <w:t>R/T 0227-2021）及相关要求。</w:t>
      </w:r>
    </w:p>
    <w:p w14:paraId="45D0FAE1">
      <w:pPr>
        <w:pStyle w:val="3"/>
        <w:pageBreakBefore w:val="0"/>
        <w:widowControl w:val="0"/>
        <w:kinsoku/>
        <w:wordWrap/>
        <w:overflowPunct/>
        <w:topLinePunct w:val="0"/>
        <w:autoSpaceDE/>
        <w:autoSpaceDN/>
        <w:bidi w:val="0"/>
        <w:adjustRightInd/>
        <w:snapToGrid/>
        <w:spacing w:before="0" w:after="0" w:line="560" w:lineRule="exact"/>
        <w:ind w:left="0" w:leftChars="0" w:firstLine="602" w:firstLineChars="200"/>
        <w:textAlignment w:val="auto"/>
        <w:rPr>
          <w:rFonts w:hint="eastAsia" w:ascii="黑体" w:hAnsi="黑体" w:eastAsia="黑体" w:cs="黑体"/>
          <w:color w:val="auto"/>
          <w:sz w:val="30"/>
          <w:szCs w:val="30"/>
          <w:highlight w:val="none"/>
        </w:rPr>
      </w:pPr>
      <w:bookmarkStart w:id="10" w:name="_Toc25948"/>
      <w:r>
        <w:rPr>
          <w:rFonts w:hint="eastAsia" w:ascii="黑体" w:hAnsi="黑体" w:eastAsia="黑体" w:cs="黑体"/>
          <w:color w:val="auto"/>
          <w:sz w:val="30"/>
          <w:szCs w:val="30"/>
          <w:highlight w:val="none"/>
        </w:rPr>
        <w:t>（四）编制原则</w:t>
      </w:r>
      <w:bookmarkEnd w:id="10"/>
    </w:p>
    <w:p w14:paraId="46375F80">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本报告秉承真实、及时、一致和连贯的原则，</w:t>
      </w:r>
      <w:r>
        <w:rPr>
          <w:rFonts w:hint="eastAsia" w:ascii="黑体" w:hAnsi="黑体" w:eastAsia="黑体" w:cs="黑体"/>
          <w:color w:val="auto"/>
          <w:sz w:val="30"/>
          <w:szCs w:val="30"/>
          <w:highlight w:val="none"/>
          <w:lang w:eastAsia="zh-CN"/>
        </w:rPr>
        <w:t>以实现</w:t>
      </w:r>
      <w:r>
        <w:rPr>
          <w:rFonts w:hint="eastAsia" w:ascii="黑体" w:hAnsi="黑体" w:eastAsia="黑体" w:cs="黑体"/>
          <w:color w:val="auto"/>
          <w:sz w:val="30"/>
          <w:szCs w:val="30"/>
          <w:highlight w:val="none"/>
        </w:rPr>
        <w:t>信息披露准确客观。</w:t>
      </w:r>
    </w:p>
    <w:p w14:paraId="51ABB2DD">
      <w:pPr>
        <w:pStyle w:val="3"/>
        <w:pageBreakBefore w:val="0"/>
        <w:widowControl w:val="0"/>
        <w:kinsoku/>
        <w:wordWrap/>
        <w:overflowPunct/>
        <w:topLinePunct w:val="0"/>
        <w:autoSpaceDE/>
        <w:autoSpaceDN/>
        <w:bidi w:val="0"/>
        <w:adjustRightInd/>
        <w:snapToGrid/>
        <w:spacing w:before="0" w:after="0" w:line="560" w:lineRule="exact"/>
        <w:ind w:left="0" w:leftChars="0" w:firstLine="602" w:firstLineChars="200"/>
        <w:textAlignment w:val="auto"/>
        <w:rPr>
          <w:rFonts w:hint="eastAsia" w:ascii="黑体" w:hAnsi="黑体" w:eastAsia="黑体" w:cs="黑体"/>
          <w:color w:val="auto"/>
          <w:sz w:val="30"/>
          <w:szCs w:val="30"/>
          <w:highlight w:val="none"/>
        </w:rPr>
      </w:pPr>
      <w:bookmarkStart w:id="11" w:name="_Toc25291"/>
      <w:r>
        <w:rPr>
          <w:rFonts w:hint="eastAsia" w:ascii="黑体" w:hAnsi="黑体" w:eastAsia="黑体" w:cs="黑体"/>
          <w:color w:val="auto"/>
          <w:sz w:val="30"/>
          <w:szCs w:val="30"/>
          <w:highlight w:val="none"/>
        </w:rPr>
        <w:t>（五）数据与信息说明</w:t>
      </w:r>
      <w:bookmarkEnd w:id="11"/>
    </w:p>
    <w:p w14:paraId="2F75D729">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本报告所披露的数据与信息主要通过以下方式获得：</w:t>
      </w:r>
    </w:p>
    <w:p w14:paraId="0D9D036D">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1. 本行内部运营相关统计报表等；</w:t>
      </w:r>
    </w:p>
    <w:p w14:paraId="2E9C3981">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2. 基于报告框架的定性与定量信息采集表等；</w:t>
      </w:r>
    </w:p>
    <w:p w14:paraId="220CC844">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3. 本行项目融资主体及非项目融资主体提供的相关文件材料。</w:t>
      </w:r>
    </w:p>
    <w:p w14:paraId="18DD8950">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4.参考了一定范围内公开数据。</w:t>
      </w:r>
    </w:p>
    <w:p w14:paraId="2E45DDED">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本报告中的数据以</w:t>
      </w:r>
      <w:r>
        <w:rPr>
          <w:rFonts w:hint="eastAsia" w:ascii="黑体" w:hAnsi="黑体" w:eastAsia="黑体" w:cs="黑体"/>
          <w:color w:val="auto"/>
          <w:sz w:val="30"/>
          <w:szCs w:val="30"/>
          <w:highlight w:val="none"/>
          <w:lang w:val="en-US" w:eastAsia="zh-CN"/>
        </w:rPr>
        <w:t>2025</w:t>
      </w:r>
      <w:r>
        <w:rPr>
          <w:rFonts w:hint="eastAsia" w:ascii="黑体" w:hAnsi="黑体" w:eastAsia="黑体" w:cs="黑体"/>
          <w:color w:val="auto"/>
          <w:sz w:val="30"/>
          <w:szCs w:val="30"/>
          <w:highlight w:val="none"/>
        </w:rPr>
        <w:t>年间的数据为主。</w:t>
      </w:r>
    </w:p>
    <w:p w14:paraId="7216F0D0">
      <w:pPr>
        <w:pStyle w:val="3"/>
        <w:pageBreakBefore w:val="0"/>
        <w:widowControl w:val="0"/>
        <w:kinsoku/>
        <w:wordWrap/>
        <w:overflowPunct/>
        <w:topLinePunct w:val="0"/>
        <w:autoSpaceDE/>
        <w:autoSpaceDN/>
        <w:bidi w:val="0"/>
        <w:adjustRightInd/>
        <w:snapToGrid/>
        <w:spacing w:before="0" w:after="0" w:line="560" w:lineRule="exact"/>
        <w:ind w:left="0" w:leftChars="0" w:firstLine="602" w:firstLineChars="200"/>
        <w:textAlignment w:val="auto"/>
        <w:rPr>
          <w:rFonts w:hint="eastAsia" w:ascii="黑体" w:hAnsi="黑体" w:eastAsia="黑体" w:cs="黑体"/>
          <w:color w:val="auto"/>
          <w:sz w:val="30"/>
          <w:szCs w:val="30"/>
          <w:highlight w:val="none"/>
        </w:rPr>
      </w:pPr>
      <w:bookmarkStart w:id="12" w:name="_Toc31789"/>
      <w:r>
        <w:rPr>
          <w:rFonts w:hint="eastAsia" w:ascii="黑体" w:hAnsi="黑体" w:eastAsia="黑体" w:cs="黑体"/>
          <w:color w:val="auto"/>
          <w:sz w:val="30"/>
          <w:szCs w:val="30"/>
          <w:highlight w:val="none"/>
        </w:rPr>
        <w:t>（六）报告指代说明</w:t>
      </w:r>
      <w:bookmarkEnd w:id="12"/>
    </w:p>
    <w:p w14:paraId="28777355">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为便于表达，在报告中“株洲农村商业银行股份有限公司”</w:t>
      </w:r>
      <w:r>
        <w:rPr>
          <w:rFonts w:hint="eastAsia" w:ascii="黑体" w:hAnsi="黑体" w:eastAsia="黑体" w:cs="黑体"/>
          <w:color w:val="auto"/>
          <w:sz w:val="30"/>
          <w:szCs w:val="30"/>
          <w:highlight w:val="none"/>
        </w:rPr>
        <w:t>及</w:t>
      </w:r>
      <w:r>
        <w:rPr>
          <w:rFonts w:hint="eastAsia" w:ascii="黑体" w:hAnsi="黑体" w:eastAsia="黑体" w:cs="黑体"/>
          <w:color w:val="auto"/>
          <w:sz w:val="30"/>
          <w:szCs w:val="30"/>
          <w:highlight w:val="none"/>
        </w:rPr>
        <w:t>“株洲农村商业银行”“我行”“本行”表示。</w:t>
      </w:r>
    </w:p>
    <w:p w14:paraId="7A9C8938">
      <w:pPr>
        <w:pStyle w:val="3"/>
        <w:pageBreakBefore w:val="0"/>
        <w:widowControl w:val="0"/>
        <w:kinsoku/>
        <w:wordWrap/>
        <w:overflowPunct/>
        <w:topLinePunct w:val="0"/>
        <w:autoSpaceDE/>
        <w:autoSpaceDN/>
        <w:bidi w:val="0"/>
        <w:adjustRightInd/>
        <w:snapToGrid/>
        <w:spacing w:before="0" w:after="0" w:line="560" w:lineRule="exact"/>
        <w:ind w:left="0" w:leftChars="0" w:firstLine="602" w:firstLineChars="200"/>
        <w:textAlignment w:val="auto"/>
        <w:rPr>
          <w:rFonts w:hint="eastAsia" w:ascii="黑体" w:hAnsi="黑体" w:eastAsia="黑体" w:cs="黑体"/>
          <w:color w:val="auto"/>
          <w:sz w:val="30"/>
          <w:szCs w:val="30"/>
          <w:highlight w:val="none"/>
        </w:rPr>
      </w:pPr>
      <w:bookmarkStart w:id="13" w:name="_Toc27813"/>
      <w:r>
        <w:rPr>
          <w:rFonts w:hint="eastAsia" w:ascii="黑体" w:hAnsi="黑体" w:eastAsia="黑体" w:cs="黑体"/>
          <w:color w:val="auto"/>
          <w:sz w:val="30"/>
          <w:szCs w:val="30"/>
          <w:highlight w:val="none"/>
        </w:rPr>
        <w:t>（七）发布形式</w:t>
      </w:r>
      <w:bookmarkEnd w:id="13"/>
    </w:p>
    <w:p w14:paraId="232A3281">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本报告采用电子版形式发布，可在本行网站查询。</w:t>
      </w:r>
    </w:p>
    <w:p w14:paraId="7F4AC893">
      <w:pPr>
        <w:pStyle w:val="3"/>
        <w:pageBreakBefore w:val="0"/>
        <w:widowControl w:val="0"/>
        <w:kinsoku/>
        <w:wordWrap/>
        <w:overflowPunct/>
        <w:topLinePunct w:val="0"/>
        <w:autoSpaceDE/>
        <w:autoSpaceDN/>
        <w:bidi w:val="0"/>
        <w:adjustRightInd/>
        <w:snapToGrid/>
        <w:spacing w:before="0" w:after="0" w:line="560" w:lineRule="exact"/>
        <w:ind w:left="0" w:leftChars="0" w:firstLine="602" w:firstLineChars="200"/>
        <w:textAlignment w:val="auto"/>
        <w:rPr>
          <w:rFonts w:hint="eastAsia" w:ascii="黑体" w:hAnsi="黑体" w:eastAsia="黑体" w:cs="黑体"/>
          <w:color w:val="auto"/>
          <w:sz w:val="30"/>
          <w:szCs w:val="30"/>
          <w:highlight w:val="none"/>
        </w:rPr>
      </w:pPr>
      <w:bookmarkStart w:id="14" w:name="_Toc20565"/>
      <w:r>
        <w:rPr>
          <w:rFonts w:hint="eastAsia" w:ascii="黑体" w:hAnsi="黑体" w:eastAsia="黑体" w:cs="黑体"/>
          <w:color w:val="auto"/>
          <w:sz w:val="30"/>
          <w:szCs w:val="30"/>
          <w:highlight w:val="none"/>
        </w:rPr>
        <w:t>（八）联系方式</w:t>
      </w:r>
      <w:bookmarkEnd w:id="14"/>
    </w:p>
    <w:p w14:paraId="6E0BFFC2">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株洲农村商业银行股份有限公司</w:t>
      </w:r>
    </w:p>
    <w:p w14:paraId="6845FF7B">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地址：湖南省株洲市天元区珠江北路199号神农文化休闲街B地块6栋</w:t>
      </w:r>
    </w:p>
    <w:p w14:paraId="59A69B2E">
      <w:pPr>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rPr>
        <w:t>电话：0731-28</w:t>
      </w:r>
      <w:r>
        <w:rPr>
          <w:rFonts w:hint="eastAsia" w:ascii="黑体" w:hAnsi="黑体" w:eastAsia="黑体" w:cs="黑体"/>
          <w:color w:val="auto"/>
          <w:sz w:val="30"/>
          <w:szCs w:val="30"/>
          <w:highlight w:val="none"/>
          <w:lang w:val="en-US" w:eastAsia="zh-CN"/>
        </w:rPr>
        <w:t>284999</w:t>
      </w:r>
    </w:p>
    <w:p w14:paraId="696CA45F">
      <w:pPr>
        <w:rPr>
          <w:rFonts w:hint="eastAsia" w:ascii="黑体" w:hAnsi="黑体" w:eastAsia="黑体" w:cs="黑体"/>
          <w:b w:val="0"/>
          <w:color w:val="auto"/>
          <w:sz w:val="32"/>
          <w:highlight w:val="none"/>
        </w:rPr>
      </w:pPr>
      <w:r>
        <w:rPr>
          <w:rFonts w:hint="eastAsia" w:ascii="黑体" w:hAnsi="黑体" w:eastAsia="黑体" w:cs="黑体"/>
          <w:b w:val="0"/>
          <w:color w:val="auto"/>
          <w:sz w:val="32"/>
          <w:highlight w:val="none"/>
        </w:rPr>
        <w:br w:type="page"/>
      </w:r>
    </w:p>
    <w:p w14:paraId="1340DC70">
      <w:pPr>
        <w:pStyle w:val="2"/>
        <w:pageBreakBefore w:val="0"/>
        <w:widowControl w:val="0"/>
        <w:kinsoku/>
        <w:wordWrap/>
        <w:overflowPunct/>
        <w:topLinePunct w:val="0"/>
        <w:autoSpaceDE/>
        <w:autoSpaceDN/>
        <w:bidi w:val="0"/>
        <w:adjustRightInd/>
        <w:snapToGrid/>
        <w:spacing w:before="0" w:after="0" w:line="560" w:lineRule="exact"/>
        <w:ind w:left="0" w:leftChars="0" w:firstLine="640" w:firstLineChars="200"/>
        <w:textAlignment w:val="auto"/>
        <w:rPr>
          <w:rFonts w:hint="eastAsia" w:ascii="黑体" w:hAnsi="黑体" w:eastAsia="黑体" w:cs="黑体"/>
          <w:b w:val="0"/>
          <w:color w:val="auto"/>
          <w:sz w:val="32"/>
          <w:highlight w:val="none"/>
        </w:rPr>
      </w:pPr>
      <w:bookmarkStart w:id="15" w:name="_Toc1330"/>
      <w:r>
        <w:rPr>
          <w:rFonts w:hint="eastAsia" w:ascii="黑体" w:hAnsi="黑体" w:eastAsia="黑体" w:cs="黑体"/>
          <w:b w:val="0"/>
          <w:color w:val="auto"/>
          <w:sz w:val="32"/>
          <w:highlight w:val="none"/>
        </w:rPr>
        <w:t>二、年度概况</w:t>
      </w:r>
      <w:bookmarkEnd w:id="15"/>
      <w:r>
        <w:rPr>
          <w:rFonts w:hint="eastAsia" w:ascii="黑体" w:hAnsi="黑体" w:eastAsia="黑体" w:cs="黑体"/>
          <w:b w:val="0"/>
          <w:color w:val="auto"/>
          <w:sz w:val="32"/>
          <w:highlight w:val="none"/>
        </w:rPr>
        <w:tab/>
      </w:r>
    </w:p>
    <w:p w14:paraId="1599A1DD">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16" w:name="_Toc2368"/>
      <w:r>
        <w:rPr>
          <w:rFonts w:hint="eastAsia" w:ascii="黑体" w:hAnsi="黑体" w:eastAsia="黑体" w:cs="黑体"/>
          <w:color w:val="auto"/>
          <w:sz w:val="30"/>
          <w:szCs w:val="30"/>
          <w:highlight w:val="none"/>
        </w:rPr>
        <w:t>（一）总体概况</w:t>
      </w:r>
      <w:bookmarkEnd w:id="16"/>
    </w:p>
    <w:p w14:paraId="2398A648">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w w:val="100"/>
          <w:sz w:val="30"/>
          <w:szCs w:val="30"/>
          <w:highlight w:val="none"/>
        </w:rPr>
      </w:pPr>
      <w:r>
        <w:rPr>
          <w:rFonts w:hint="eastAsia" w:ascii="黑体" w:hAnsi="黑体" w:eastAsia="黑体" w:cs="黑体"/>
          <w:color w:val="auto"/>
          <w:w w:val="100"/>
          <w:sz w:val="30"/>
          <w:szCs w:val="30"/>
          <w:highlight w:val="none"/>
        </w:rPr>
        <w:t>株洲农村商业银行</w:t>
      </w:r>
      <w:r>
        <w:rPr>
          <w:rFonts w:hint="eastAsia" w:ascii="黑体" w:hAnsi="黑体" w:eastAsia="黑体" w:cs="黑体"/>
          <w:color w:val="auto"/>
          <w:w w:val="100"/>
          <w:sz w:val="30"/>
          <w:szCs w:val="30"/>
          <w:highlight w:val="none"/>
          <w:lang w:eastAsia="zh-CN"/>
        </w:rPr>
        <w:t>（以下简称“我行”）</w:t>
      </w:r>
      <w:r>
        <w:rPr>
          <w:rFonts w:hint="eastAsia" w:ascii="黑体" w:hAnsi="黑体" w:eastAsia="黑体" w:cs="黑体"/>
          <w:color w:val="auto"/>
          <w:w w:val="100"/>
          <w:sz w:val="30"/>
          <w:szCs w:val="30"/>
          <w:highlight w:val="none"/>
        </w:rPr>
        <w:t>注册资本8.8亿元，至</w:t>
      </w:r>
      <w:r>
        <w:rPr>
          <w:rFonts w:hint="eastAsia" w:ascii="黑体" w:hAnsi="黑体" w:eastAsia="黑体" w:cs="黑体"/>
          <w:color w:val="auto"/>
          <w:w w:val="100"/>
          <w:sz w:val="30"/>
          <w:szCs w:val="30"/>
          <w:highlight w:val="none"/>
        </w:rPr>
        <w:t>202</w:t>
      </w:r>
      <w:r>
        <w:rPr>
          <w:rFonts w:hint="eastAsia" w:ascii="黑体" w:hAnsi="黑体" w:eastAsia="黑体" w:cs="黑体"/>
          <w:color w:val="auto"/>
          <w:w w:val="100"/>
          <w:sz w:val="30"/>
          <w:szCs w:val="30"/>
          <w:highlight w:val="none"/>
          <w:lang w:val="en-US" w:eastAsia="zh-CN"/>
        </w:rPr>
        <w:t>5</w:t>
      </w:r>
      <w:r>
        <w:rPr>
          <w:rFonts w:hint="eastAsia" w:ascii="黑体" w:hAnsi="黑体" w:eastAsia="黑体" w:cs="黑体"/>
          <w:color w:val="auto"/>
          <w:w w:val="100"/>
          <w:sz w:val="30"/>
          <w:szCs w:val="30"/>
          <w:highlight w:val="none"/>
        </w:rPr>
        <w:t>年</w:t>
      </w:r>
      <w:r>
        <w:rPr>
          <w:rFonts w:hint="eastAsia" w:ascii="黑体" w:hAnsi="黑体" w:eastAsia="黑体" w:cs="黑体"/>
          <w:color w:val="auto"/>
          <w:w w:val="100"/>
          <w:sz w:val="30"/>
          <w:szCs w:val="30"/>
          <w:highlight w:val="none"/>
        </w:rPr>
        <w:t>末（下同），</w:t>
      </w:r>
      <w:r>
        <w:rPr>
          <w:rFonts w:hint="eastAsia" w:ascii="黑体" w:hAnsi="黑体" w:eastAsia="黑体" w:cs="黑体"/>
          <w:color w:val="auto"/>
          <w:w w:val="100"/>
          <w:sz w:val="30"/>
          <w:szCs w:val="30"/>
          <w:highlight w:val="none"/>
        </w:rPr>
        <w:t>下辖网点3</w:t>
      </w:r>
      <w:r>
        <w:rPr>
          <w:rFonts w:hint="eastAsia" w:ascii="黑体" w:hAnsi="黑体" w:eastAsia="黑体" w:cs="黑体"/>
          <w:color w:val="auto"/>
          <w:w w:val="100"/>
          <w:sz w:val="30"/>
          <w:szCs w:val="30"/>
          <w:highlight w:val="none"/>
          <w:lang w:val="en-US" w:eastAsia="zh-CN"/>
        </w:rPr>
        <w:t>8</w:t>
      </w:r>
      <w:r>
        <w:rPr>
          <w:rFonts w:hint="eastAsia" w:ascii="黑体" w:hAnsi="黑体" w:eastAsia="黑体" w:cs="黑体"/>
          <w:color w:val="auto"/>
          <w:w w:val="100"/>
          <w:sz w:val="30"/>
          <w:szCs w:val="30"/>
          <w:highlight w:val="none"/>
        </w:rPr>
        <w:t>个</w:t>
      </w:r>
      <w:r>
        <w:rPr>
          <w:rFonts w:hint="eastAsia" w:ascii="黑体" w:hAnsi="黑体" w:eastAsia="黑体" w:cs="黑体"/>
          <w:color w:val="auto"/>
          <w:w w:val="100"/>
          <w:sz w:val="30"/>
          <w:szCs w:val="30"/>
          <w:highlight w:val="none"/>
        </w:rPr>
        <w:t>（含营业部），其中天元区网点</w:t>
      </w:r>
      <w:r>
        <w:rPr>
          <w:rFonts w:hint="eastAsia" w:ascii="黑体" w:hAnsi="黑体" w:eastAsia="黑体" w:cs="黑体"/>
          <w:color w:val="auto"/>
          <w:w w:val="100"/>
          <w:sz w:val="30"/>
          <w:szCs w:val="30"/>
          <w:highlight w:val="none"/>
          <w:lang w:val="en-US" w:eastAsia="zh-CN"/>
        </w:rPr>
        <w:t>13</w:t>
      </w:r>
      <w:r>
        <w:rPr>
          <w:rFonts w:hint="eastAsia" w:ascii="黑体" w:hAnsi="黑体" w:eastAsia="黑体" w:cs="黑体"/>
          <w:color w:val="auto"/>
          <w:w w:val="100"/>
          <w:sz w:val="30"/>
          <w:szCs w:val="30"/>
          <w:highlight w:val="none"/>
        </w:rPr>
        <w:t>个、</w:t>
      </w:r>
      <w:r>
        <w:rPr>
          <w:rFonts w:hint="eastAsia" w:ascii="黑体" w:hAnsi="黑体" w:eastAsia="黑体" w:cs="黑体"/>
          <w:color w:val="auto"/>
          <w:w w:val="100"/>
          <w:sz w:val="30"/>
          <w:szCs w:val="30"/>
          <w:highlight w:val="none"/>
        </w:rPr>
        <w:t>芦淞区</w:t>
      </w:r>
      <w:r>
        <w:rPr>
          <w:rFonts w:hint="eastAsia" w:ascii="黑体" w:hAnsi="黑体" w:eastAsia="黑体" w:cs="黑体"/>
          <w:color w:val="auto"/>
          <w:w w:val="100"/>
          <w:sz w:val="30"/>
          <w:szCs w:val="30"/>
          <w:highlight w:val="none"/>
          <w:lang w:val="en-US" w:eastAsia="zh-CN"/>
        </w:rPr>
        <w:t>8</w:t>
      </w:r>
      <w:r>
        <w:rPr>
          <w:rFonts w:hint="eastAsia" w:ascii="黑体" w:hAnsi="黑体" w:eastAsia="黑体" w:cs="黑体"/>
          <w:color w:val="auto"/>
          <w:w w:val="100"/>
          <w:sz w:val="30"/>
          <w:szCs w:val="30"/>
          <w:highlight w:val="none"/>
        </w:rPr>
        <w:t>个</w:t>
      </w:r>
      <w:r>
        <w:rPr>
          <w:rFonts w:hint="eastAsia" w:ascii="黑体" w:hAnsi="黑体" w:eastAsia="黑体" w:cs="黑体"/>
          <w:color w:val="auto"/>
          <w:w w:val="100"/>
          <w:sz w:val="30"/>
          <w:szCs w:val="30"/>
          <w:highlight w:val="none"/>
        </w:rPr>
        <w:t>、荷塘区</w:t>
      </w:r>
      <w:r>
        <w:rPr>
          <w:rFonts w:hint="eastAsia" w:ascii="黑体" w:hAnsi="黑体" w:eastAsia="黑体" w:cs="黑体"/>
          <w:color w:val="auto"/>
          <w:w w:val="100"/>
          <w:sz w:val="30"/>
          <w:szCs w:val="30"/>
          <w:highlight w:val="none"/>
          <w:lang w:val="en-US" w:eastAsia="zh-CN"/>
        </w:rPr>
        <w:t>11</w:t>
      </w:r>
      <w:r>
        <w:rPr>
          <w:rFonts w:hint="eastAsia" w:ascii="黑体" w:hAnsi="黑体" w:eastAsia="黑体" w:cs="黑体"/>
          <w:color w:val="auto"/>
          <w:w w:val="100"/>
          <w:sz w:val="30"/>
          <w:szCs w:val="30"/>
          <w:highlight w:val="none"/>
        </w:rPr>
        <w:t>个、石峰区</w:t>
      </w:r>
      <w:r>
        <w:rPr>
          <w:rFonts w:hint="eastAsia" w:ascii="黑体" w:hAnsi="黑体" w:eastAsia="黑体" w:cs="黑体"/>
          <w:color w:val="auto"/>
          <w:w w:val="100"/>
          <w:sz w:val="30"/>
          <w:szCs w:val="30"/>
          <w:highlight w:val="none"/>
          <w:lang w:val="en-US" w:eastAsia="zh-CN"/>
        </w:rPr>
        <w:t>6</w:t>
      </w:r>
      <w:r>
        <w:rPr>
          <w:rFonts w:hint="eastAsia" w:ascii="黑体" w:hAnsi="黑体" w:eastAsia="黑体" w:cs="黑体"/>
          <w:color w:val="auto"/>
          <w:w w:val="100"/>
          <w:sz w:val="30"/>
          <w:szCs w:val="30"/>
          <w:highlight w:val="none"/>
        </w:rPr>
        <w:t>个，在职在岗员工</w:t>
      </w:r>
      <w:r>
        <w:rPr>
          <w:rFonts w:hint="eastAsia" w:ascii="黑体" w:hAnsi="黑体" w:eastAsia="黑体" w:cs="黑体"/>
          <w:color w:val="auto"/>
          <w:w w:val="100"/>
          <w:sz w:val="30"/>
          <w:szCs w:val="30"/>
          <w:highlight w:val="none"/>
        </w:rPr>
        <w:t>5</w:t>
      </w:r>
      <w:r>
        <w:rPr>
          <w:rFonts w:hint="eastAsia" w:ascii="黑体" w:hAnsi="黑体" w:eastAsia="黑体" w:cs="黑体"/>
          <w:color w:val="auto"/>
          <w:w w:val="100"/>
          <w:sz w:val="30"/>
          <w:szCs w:val="30"/>
          <w:highlight w:val="none"/>
          <w:lang w:val="en-US" w:eastAsia="zh-CN"/>
        </w:rPr>
        <w:t>08</w:t>
      </w:r>
      <w:r>
        <w:rPr>
          <w:rFonts w:hint="eastAsia" w:ascii="黑体" w:hAnsi="黑体" w:eastAsia="黑体" w:cs="黑体"/>
          <w:color w:val="auto"/>
          <w:w w:val="100"/>
          <w:sz w:val="30"/>
          <w:szCs w:val="30"/>
          <w:highlight w:val="none"/>
        </w:rPr>
        <w:t>人</w:t>
      </w:r>
      <w:r>
        <w:rPr>
          <w:rFonts w:hint="eastAsia" w:ascii="黑体" w:hAnsi="黑体" w:eastAsia="黑体" w:cs="黑体"/>
          <w:color w:val="auto"/>
          <w:w w:val="100"/>
          <w:sz w:val="30"/>
          <w:szCs w:val="30"/>
          <w:highlight w:val="none"/>
        </w:rPr>
        <w:t>。</w:t>
      </w:r>
    </w:p>
    <w:tbl>
      <w:tblPr>
        <w:tblStyle w:val="18"/>
        <w:tblW w:w="603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68"/>
      </w:tblGrid>
      <w:tr w14:paraId="7D2D3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1" w:hRule="atLeast"/>
          <w:jc w:val="center"/>
        </w:trPr>
        <w:tc>
          <w:tcPr>
            <w:tcW w:w="5000" w:type="pct"/>
            <w:tcBorders>
              <w:tl2br w:val="nil"/>
              <w:tr2bl w:val="nil"/>
            </w:tcBorders>
            <w:vAlign w:val="center"/>
          </w:tcPr>
          <w:p w14:paraId="46B1D3C8">
            <w:pPr>
              <w:pageBreakBefore w:val="0"/>
              <w:kinsoku/>
              <w:wordWrap/>
              <w:overflowPunct/>
              <w:topLinePunct w:val="0"/>
              <w:bidi w:val="0"/>
              <w:adjustRightInd/>
              <w:snapToGrid/>
              <w:spacing w:line="240" w:lineRule="auto"/>
              <w:jc w:val="center"/>
              <w:rPr>
                <w:rFonts w:hint="eastAsia" w:ascii="黑体" w:hAnsi="黑体" w:eastAsia="黑体" w:cs="黑体"/>
                <w:color w:val="auto"/>
                <w:sz w:val="30"/>
                <w:szCs w:val="30"/>
                <w:highlight w:val="none"/>
                <w:vertAlign w:val="baseline"/>
              </w:rPr>
            </w:pPr>
            <w:r>
              <w:rPr>
                <w:rFonts w:hint="eastAsia" w:ascii="黑体" w:hAnsi="黑体" w:eastAsia="黑体" w:cs="黑体"/>
                <w:color w:val="auto"/>
                <w:sz w:val="30"/>
                <w:szCs w:val="30"/>
                <w:highlight w:val="none"/>
              </w:rPr>
              <w:t>图1</w:t>
            </w:r>
            <w:r>
              <w:rPr>
                <w:rFonts w:hint="eastAsia" w:ascii="黑体" w:hAnsi="黑体" w:eastAsia="黑体" w:cs="黑体"/>
                <w:color w:val="auto"/>
                <w:sz w:val="30"/>
                <w:szCs w:val="30"/>
                <w:highlight w:val="none"/>
                <w:lang w:val="en-US" w:eastAsia="zh-CN"/>
              </w:rPr>
              <w:t>-1</w:t>
            </w:r>
            <w:r>
              <w:rPr>
                <w:rFonts w:hint="eastAsia" w:ascii="黑体" w:hAnsi="黑体" w:eastAsia="黑体" w:cs="黑体"/>
                <w:color w:val="auto"/>
                <w:sz w:val="30"/>
                <w:szCs w:val="30"/>
                <w:highlight w:val="none"/>
              </w:rPr>
              <w:t xml:space="preserve"> 株洲农村商业银行组织架构图</w:t>
            </w:r>
            <w:r>
              <w:rPr>
                <w:rFonts w:hint="eastAsia" w:ascii="黑体" w:hAnsi="黑体" w:eastAsia="黑体" w:cs="黑体"/>
                <w:color w:val="auto"/>
                <w:sz w:val="30"/>
                <w:szCs w:val="30"/>
                <w:highlight w:val="none"/>
                <w:lang w:eastAsia="zh-CN"/>
              </w:rPr>
              <w:drawing>
                <wp:anchor distT="0" distB="0" distL="114300" distR="114300" simplePos="0" relativeHeight="251659264" behindDoc="0" locked="0" layoutInCell="1" allowOverlap="1">
                  <wp:simplePos x="0" y="0"/>
                  <wp:positionH relativeFrom="column">
                    <wp:posOffset>181610</wp:posOffset>
                  </wp:positionH>
                  <wp:positionV relativeFrom="page">
                    <wp:posOffset>114935</wp:posOffset>
                  </wp:positionV>
                  <wp:extent cx="6398260" cy="3599815"/>
                  <wp:effectExtent l="0" t="0" r="2540" b="635"/>
                  <wp:wrapTopAndBottom/>
                  <wp:docPr id="1" name="图片 1" descr="D:/BaiduSyncdisk/株洲农商银行工作/2025株洲农商银行/2.2025董事会/株洲农村商业银行股份有限公司 组织结构图 202503.png株洲农村商业银行股份有限公司 组织结构图 20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BaiduSyncdisk/株洲农商银行工作/2025株洲农商银行/2.2025董事会/株洲农村商业银行股份有限公司 组织结构图 202503.png株洲农村商业银行股份有限公司 组织结构图 202503"/>
                          <pic:cNvPicPr>
                            <a:picLocks noChangeAspect="1"/>
                          </pic:cNvPicPr>
                        </pic:nvPicPr>
                        <pic:blipFill>
                          <a:blip r:embed="rId8"/>
                          <a:srcRect l="18" r="18"/>
                          <a:stretch>
                            <a:fillRect/>
                          </a:stretch>
                        </pic:blipFill>
                        <pic:spPr>
                          <a:xfrm>
                            <a:off x="0" y="0"/>
                            <a:ext cx="6398260" cy="3599815"/>
                          </a:xfrm>
                          <a:prstGeom prst="rect">
                            <a:avLst/>
                          </a:prstGeom>
                        </pic:spPr>
                      </pic:pic>
                    </a:graphicData>
                  </a:graphic>
                </wp:anchor>
              </w:drawing>
            </w:r>
          </w:p>
        </w:tc>
      </w:tr>
    </w:tbl>
    <w:p w14:paraId="3711DD4B">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作为一家地方性的农商行，我行积极践行“绿色信贷”理念,建立绿色信贷专业化体系，全面对接绿色低碳白名单企业，通过制定绿色金融发展战略和工作规划，将绿色信贷与发展规划紧密结合起来，加大对环境保护和节能减排等绿色经济相关产业的信贷支持力度，推动绿色金融产品创新，打造“绿色金融”特色品牌。</w:t>
      </w:r>
    </w:p>
    <w:p w14:paraId="74C29895">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至202</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rPr>
        <w:t>年末，我行投向绿色信贷领域贷款余额37249万元，比上年增加</w:t>
      </w:r>
      <w:r>
        <w:rPr>
          <w:rFonts w:hint="eastAsia" w:ascii="黑体" w:hAnsi="黑体" w:eastAsia="黑体" w:cs="黑体"/>
          <w:color w:val="auto"/>
          <w:sz w:val="30"/>
          <w:szCs w:val="30"/>
          <w:highlight w:val="none"/>
          <w:lang w:val="en-US" w:eastAsia="zh-CN"/>
        </w:rPr>
        <w:t>637</w:t>
      </w:r>
      <w:r>
        <w:rPr>
          <w:rFonts w:hint="eastAsia" w:ascii="黑体" w:hAnsi="黑体" w:eastAsia="黑体" w:cs="黑体"/>
          <w:color w:val="auto"/>
          <w:sz w:val="30"/>
          <w:szCs w:val="30"/>
          <w:highlight w:val="none"/>
        </w:rPr>
        <w:t>万元，</w:t>
      </w:r>
      <w:r>
        <w:rPr>
          <w:rFonts w:hint="eastAsia" w:ascii="黑体" w:hAnsi="黑体" w:eastAsia="黑体" w:cs="黑体"/>
          <w:color w:val="auto"/>
          <w:sz w:val="30"/>
          <w:szCs w:val="30"/>
          <w:highlight w:val="none"/>
        </w:rPr>
        <w:t>主</w:t>
      </w:r>
      <w:r>
        <w:rPr>
          <w:rFonts w:hint="eastAsia" w:ascii="黑体" w:hAnsi="黑体" w:eastAsia="黑体" w:cs="黑体"/>
          <w:color w:val="auto"/>
          <w:sz w:val="30"/>
          <w:szCs w:val="30"/>
          <w:highlight w:val="none"/>
        </w:rPr>
        <w:t>要集中在环保、环境工程建设、林业等领域。进一步优化绿色金融服务，对绿色贷款开通绿色通道，优先受理、优先审批，贷款办结时限最短至24小时。同时，我行拓展了绿色企业抵质押范围，并对“绿色金融”白名单企业贷款实行专项利率优惠</w:t>
      </w:r>
      <w:r>
        <w:rPr>
          <w:rFonts w:hint="eastAsia" w:ascii="黑体" w:hAnsi="黑体" w:eastAsia="黑体" w:cs="黑体"/>
          <w:color w:val="auto"/>
          <w:sz w:val="30"/>
          <w:szCs w:val="30"/>
          <w:highlight w:val="none"/>
          <w:lang w:val="en-US" w:eastAsia="zh-CN"/>
        </w:rPr>
        <w:t>，同时</w:t>
      </w:r>
      <w:r>
        <w:rPr>
          <w:rFonts w:hint="eastAsia" w:ascii="黑体" w:hAnsi="黑体" w:eastAsia="黑体" w:cs="黑体"/>
          <w:color w:val="auto"/>
          <w:sz w:val="30"/>
          <w:szCs w:val="30"/>
          <w:highlight w:val="none"/>
        </w:rPr>
        <w:t>运用“无还本续贷”，企业续贷时间缩短到１天以内，续贷成本</w:t>
      </w:r>
      <w:r>
        <w:rPr>
          <w:rFonts w:hint="eastAsia" w:ascii="黑体" w:hAnsi="黑体" w:eastAsia="黑体" w:cs="黑体"/>
          <w:color w:val="auto"/>
          <w:sz w:val="30"/>
          <w:szCs w:val="30"/>
          <w:highlight w:val="none"/>
          <w:lang w:eastAsia="zh-CN"/>
        </w:rPr>
        <w:t>大幅降低</w:t>
      </w:r>
      <w:r>
        <w:rPr>
          <w:rFonts w:hint="eastAsia" w:ascii="黑体" w:hAnsi="黑体" w:eastAsia="黑体" w:cs="黑体"/>
          <w:color w:val="auto"/>
          <w:sz w:val="30"/>
          <w:szCs w:val="30"/>
          <w:highlight w:val="none"/>
        </w:rPr>
        <w:t>。</w:t>
      </w:r>
    </w:p>
    <w:p w14:paraId="4B4A638C">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17" w:name="_Toc3541"/>
      <w:r>
        <w:rPr>
          <w:rFonts w:hint="eastAsia" w:ascii="黑体" w:hAnsi="黑体" w:eastAsia="黑体" w:cs="黑体"/>
          <w:color w:val="auto"/>
          <w:sz w:val="30"/>
          <w:szCs w:val="30"/>
          <w:highlight w:val="none"/>
        </w:rPr>
        <w:t>（二）关键成果与绩效</w:t>
      </w:r>
      <w:bookmarkEnd w:id="17"/>
    </w:p>
    <w:p w14:paraId="4A885178">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highlight w:val="none"/>
        </w:rPr>
      </w:pPr>
      <w:r>
        <w:rPr>
          <w:rFonts w:hint="eastAsia" w:ascii="黑体" w:hAnsi="黑体" w:eastAsia="黑体" w:cs="黑体"/>
          <w:color w:val="auto"/>
          <w:sz w:val="30"/>
          <w:szCs w:val="30"/>
          <w:highlight w:val="none"/>
        </w:rPr>
        <w:t>表1</w:t>
      </w:r>
      <w:r>
        <w:rPr>
          <w:rFonts w:hint="eastAsia" w:ascii="黑体" w:hAnsi="黑体" w:eastAsia="黑体" w:cs="黑体"/>
          <w:color w:val="auto"/>
          <w:sz w:val="30"/>
          <w:szCs w:val="30"/>
          <w:highlight w:val="none"/>
          <w:lang w:val="en-US" w:eastAsia="zh-CN"/>
        </w:rPr>
        <w:t>-1</w:t>
      </w:r>
      <w:r>
        <w:rPr>
          <w:rFonts w:hint="eastAsia" w:ascii="黑体" w:hAnsi="黑体" w:eastAsia="黑体" w:cs="黑体"/>
          <w:color w:val="auto"/>
          <w:sz w:val="30"/>
          <w:szCs w:val="30"/>
          <w:highlight w:val="none"/>
        </w:rPr>
        <w:t xml:space="preserve"> 株洲农村商业银行关键成果和绩效表</w:t>
      </w:r>
    </w:p>
    <w:tbl>
      <w:tblPr>
        <w:tblStyle w:val="17"/>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4525"/>
        <w:gridCol w:w="1929"/>
        <w:gridCol w:w="1546"/>
      </w:tblGrid>
      <w:tr w14:paraId="400C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tcBorders>
              <w:top w:val="single" w:color="000000" w:sz="12" w:space="0"/>
              <w:left w:val="nil"/>
              <w:bottom w:val="single" w:color="000000" w:sz="4" w:space="0"/>
              <w:right w:val="nil"/>
              <w:tl2br w:val="nil"/>
            </w:tcBorders>
            <w:shd w:val="clear" w:color="auto" w:fill="FFFFFF"/>
            <w:vAlign w:val="center"/>
          </w:tcPr>
          <w:p w14:paraId="5BEDFAFC">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bCs/>
                <w:color w:val="auto"/>
                <w:highlight w:val="none"/>
              </w:rPr>
            </w:pPr>
            <w:r>
              <w:rPr>
                <w:rFonts w:hint="eastAsia" w:ascii="黑体" w:hAnsi="黑体" w:eastAsia="黑体" w:cs="黑体"/>
                <w:b w:val="0"/>
                <w:bCs/>
                <w:color w:val="auto"/>
                <w:highlight w:val="none"/>
              </w:rPr>
              <w:t>类别</w:t>
            </w:r>
          </w:p>
        </w:tc>
        <w:tc>
          <w:tcPr>
            <w:tcW w:w="4525" w:type="dxa"/>
            <w:tcBorders>
              <w:top w:val="single" w:color="000000" w:sz="12" w:space="0"/>
              <w:left w:val="nil"/>
              <w:bottom w:val="single" w:color="000000" w:sz="4" w:space="0"/>
              <w:right w:val="nil"/>
            </w:tcBorders>
            <w:shd w:val="clear" w:color="auto" w:fill="FFFFFF"/>
            <w:vAlign w:val="center"/>
          </w:tcPr>
          <w:p w14:paraId="287051D1">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bCs/>
                <w:color w:val="auto"/>
                <w:highlight w:val="none"/>
              </w:rPr>
            </w:pPr>
            <w:r>
              <w:rPr>
                <w:rFonts w:hint="eastAsia" w:ascii="黑体" w:hAnsi="黑体" w:eastAsia="黑体" w:cs="黑体"/>
                <w:b w:val="0"/>
                <w:bCs/>
                <w:color w:val="auto"/>
                <w:highlight w:val="none"/>
              </w:rPr>
              <w:t>指标</w:t>
            </w:r>
          </w:p>
        </w:tc>
        <w:tc>
          <w:tcPr>
            <w:tcW w:w="1929" w:type="dxa"/>
            <w:tcBorders>
              <w:top w:val="single" w:color="000000" w:sz="12" w:space="0"/>
              <w:left w:val="nil"/>
              <w:bottom w:val="single" w:color="000000" w:sz="4" w:space="0"/>
              <w:right w:val="nil"/>
            </w:tcBorders>
            <w:shd w:val="clear" w:color="auto" w:fill="FFFFFF"/>
            <w:vAlign w:val="center"/>
          </w:tcPr>
          <w:p w14:paraId="45AC7B3D">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bCs/>
                <w:color w:val="auto"/>
                <w:highlight w:val="none"/>
              </w:rPr>
            </w:pPr>
            <w:r>
              <w:rPr>
                <w:rFonts w:hint="eastAsia" w:ascii="黑体" w:hAnsi="黑体" w:eastAsia="黑体" w:cs="黑体"/>
                <w:b w:val="0"/>
                <w:bCs/>
                <w:color w:val="auto"/>
                <w:highlight w:val="none"/>
              </w:rPr>
              <w:t>单位</w:t>
            </w:r>
          </w:p>
        </w:tc>
        <w:tc>
          <w:tcPr>
            <w:tcW w:w="1546" w:type="dxa"/>
            <w:tcBorders>
              <w:top w:val="single" w:color="000000" w:sz="12" w:space="0"/>
              <w:left w:val="nil"/>
              <w:bottom w:val="single" w:color="000000" w:sz="4" w:space="0"/>
              <w:right w:val="nil"/>
            </w:tcBorders>
            <w:shd w:val="clear" w:color="auto" w:fill="FFFFFF"/>
            <w:vAlign w:val="center"/>
          </w:tcPr>
          <w:p w14:paraId="00E09425">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bCs/>
                <w:color w:val="auto"/>
                <w:highlight w:val="none"/>
              </w:rPr>
            </w:pPr>
            <w:r>
              <w:rPr>
                <w:rFonts w:hint="eastAsia" w:ascii="黑体" w:hAnsi="黑体" w:eastAsia="黑体" w:cs="黑体"/>
                <w:b w:val="0"/>
                <w:bCs/>
                <w:color w:val="auto"/>
                <w:highlight w:val="none"/>
              </w:rPr>
              <w:t>数值</w:t>
            </w:r>
          </w:p>
        </w:tc>
      </w:tr>
      <w:tr w14:paraId="377B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restart"/>
            <w:tcBorders>
              <w:top w:val="single" w:color="000000" w:sz="4" w:space="0"/>
              <w:left w:val="nil"/>
              <w:bottom w:val="nil"/>
              <w:right w:val="nil"/>
            </w:tcBorders>
            <w:shd w:val="clear" w:color="auto" w:fill="FFFFFF"/>
            <w:vAlign w:val="center"/>
          </w:tcPr>
          <w:p w14:paraId="5AFD57E0">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bCs/>
                <w:color w:val="auto"/>
                <w:highlight w:val="none"/>
              </w:rPr>
            </w:pPr>
            <w:r>
              <w:rPr>
                <w:rFonts w:hint="eastAsia" w:ascii="黑体" w:hAnsi="黑体" w:eastAsia="黑体" w:cs="黑体"/>
                <w:b w:val="0"/>
                <w:bCs/>
                <w:color w:val="auto"/>
                <w:highlight w:val="none"/>
              </w:rPr>
              <w:t>绿色金融业务</w:t>
            </w:r>
          </w:p>
        </w:tc>
        <w:tc>
          <w:tcPr>
            <w:tcW w:w="4525" w:type="dxa"/>
            <w:tcBorders>
              <w:top w:val="single" w:color="000000" w:sz="4" w:space="0"/>
              <w:left w:val="nil"/>
              <w:bottom w:val="nil"/>
              <w:right w:val="nil"/>
            </w:tcBorders>
            <w:shd w:val="clear" w:color="auto" w:fill="FFFFFF"/>
            <w:vAlign w:val="center"/>
          </w:tcPr>
          <w:p w14:paraId="6F3AB11C">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绿色信贷余额</w:t>
            </w:r>
          </w:p>
        </w:tc>
        <w:tc>
          <w:tcPr>
            <w:tcW w:w="1929" w:type="dxa"/>
            <w:tcBorders>
              <w:top w:val="single" w:color="000000" w:sz="4" w:space="0"/>
              <w:left w:val="nil"/>
              <w:bottom w:val="nil"/>
              <w:right w:val="nil"/>
            </w:tcBorders>
            <w:shd w:val="clear" w:color="auto" w:fill="FFFFFF"/>
            <w:vAlign w:val="center"/>
          </w:tcPr>
          <w:p w14:paraId="379A051C">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万元</w:t>
            </w:r>
          </w:p>
        </w:tc>
        <w:tc>
          <w:tcPr>
            <w:tcW w:w="1546" w:type="dxa"/>
            <w:tcBorders>
              <w:top w:val="single" w:color="000000" w:sz="4" w:space="0"/>
              <w:left w:val="nil"/>
              <w:bottom w:val="nil"/>
              <w:right w:val="nil"/>
            </w:tcBorders>
            <w:shd w:val="clear" w:color="auto" w:fill="FFFFFF"/>
            <w:vAlign w:val="center"/>
          </w:tcPr>
          <w:p w14:paraId="74F119FA">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37249</w:t>
            </w:r>
          </w:p>
        </w:tc>
      </w:tr>
      <w:tr w14:paraId="19C6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42F861A5">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bCs/>
                <w:color w:val="auto"/>
                <w:highlight w:val="none"/>
              </w:rPr>
            </w:pPr>
          </w:p>
        </w:tc>
        <w:tc>
          <w:tcPr>
            <w:tcW w:w="4525" w:type="dxa"/>
            <w:tcBorders>
              <w:top w:val="nil"/>
              <w:left w:val="nil"/>
              <w:bottom w:val="nil"/>
              <w:right w:val="nil"/>
            </w:tcBorders>
            <w:shd w:val="clear" w:color="auto" w:fill="FFFFFF"/>
            <w:vAlign w:val="center"/>
          </w:tcPr>
          <w:p w14:paraId="10FECF5D">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其中：较年初增加值</w:t>
            </w:r>
          </w:p>
        </w:tc>
        <w:tc>
          <w:tcPr>
            <w:tcW w:w="1929" w:type="dxa"/>
            <w:tcBorders>
              <w:top w:val="nil"/>
              <w:left w:val="nil"/>
              <w:bottom w:val="nil"/>
              <w:right w:val="nil"/>
            </w:tcBorders>
            <w:shd w:val="clear" w:color="auto" w:fill="FFFFFF"/>
            <w:vAlign w:val="center"/>
          </w:tcPr>
          <w:p w14:paraId="740BBE4B">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万元</w:t>
            </w:r>
          </w:p>
        </w:tc>
        <w:tc>
          <w:tcPr>
            <w:tcW w:w="1546" w:type="dxa"/>
            <w:tcBorders>
              <w:top w:val="nil"/>
              <w:left w:val="nil"/>
              <w:bottom w:val="nil"/>
              <w:right w:val="nil"/>
            </w:tcBorders>
            <w:shd w:val="clear" w:color="auto" w:fill="FFFFFF"/>
            <w:vAlign w:val="center"/>
          </w:tcPr>
          <w:p w14:paraId="0E9C62AA">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637</w:t>
            </w:r>
          </w:p>
        </w:tc>
      </w:tr>
      <w:tr w14:paraId="4723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0181D0B1">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bCs/>
                <w:color w:val="auto"/>
                <w:highlight w:val="none"/>
              </w:rPr>
            </w:pPr>
          </w:p>
        </w:tc>
        <w:tc>
          <w:tcPr>
            <w:tcW w:w="4525" w:type="dxa"/>
            <w:tcBorders>
              <w:top w:val="nil"/>
              <w:left w:val="nil"/>
              <w:bottom w:val="nil"/>
              <w:right w:val="nil"/>
            </w:tcBorders>
            <w:shd w:val="clear" w:color="auto" w:fill="FFFFFF"/>
            <w:vAlign w:val="center"/>
          </w:tcPr>
          <w:p w14:paraId="50101BF5">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较年初增幅</w:t>
            </w:r>
          </w:p>
        </w:tc>
        <w:tc>
          <w:tcPr>
            <w:tcW w:w="1929" w:type="dxa"/>
            <w:tcBorders>
              <w:top w:val="nil"/>
              <w:left w:val="nil"/>
              <w:bottom w:val="nil"/>
              <w:right w:val="nil"/>
            </w:tcBorders>
            <w:shd w:val="clear" w:color="auto" w:fill="FFFFFF"/>
            <w:vAlign w:val="center"/>
          </w:tcPr>
          <w:p w14:paraId="6EE71F3E">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w:t>
            </w:r>
          </w:p>
        </w:tc>
        <w:tc>
          <w:tcPr>
            <w:tcW w:w="1546" w:type="dxa"/>
            <w:tcBorders>
              <w:top w:val="nil"/>
              <w:left w:val="nil"/>
              <w:bottom w:val="nil"/>
              <w:right w:val="nil"/>
            </w:tcBorders>
            <w:shd w:val="clear" w:color="auto" w:fill="FFFFFF"/>
            <w:vAlign w:val="center"/>
          </w:tcPr>
          <w:p w14:paraId="285B5458">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1.74</w:t>
            </w:r>
          </w:p>
        </w:tc>
      </w:tr>
      <w:tr w14:paraId="288B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restart"/>
            <w:tcBorders>
              <w:top w:val="nil"/>
              <w:left w:val="nil"/>
              <w:bottom w:val="nil"/>
              <w:right w:val="nil"/>
            </w:tcBorders>
            <w:shd w:val="clear" w:color="auto" w:fill="FFFFFF"/>
            <w:vAlign w:val="center"/>
          </w:tcPr>
          <w:p w14:paraId="02360B0E">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bCs/>
                <w:color w:val="auto"/>
                <w:highlight w:val="none"/>
              </w:rPr>
            </w:pPr>
            <w:r>
              <w:rPr>
                <w:rFonts w:hint="eastAsia" w:ascii="黑体" w:hAnsi="黑体" w:eastAsia="黑体" w:cs="黑体"/>
                <w:b w:val="0"/>
                <w:bCs/>
                <w:color w:val="auto"/>
                <w:highlight w:val="none"/>
              </w:rPr>
              <w:t>自然资源消耗与温室气体排放</w:t>
            </w:r>
          </w:p>
        </w:tc>
        <w:tc>
          <w:tcPr>
            <w:tcW w:w="4525" w:type="dxa"/>
            <w:tcBorders>
              <w:top w:val="nil"/>
              <w:left w:val="nil"/>
              <w:bottom w:val="nil"/>
              <w:right w:val="nil"/>
            </w:tcBorders>
            <w:shd w:val="clear" w:color="auto" w:fill="FFFFFF"/>
            <w:vAlign w:val="center"/>
          </w:tcPr>
          <w:p w14:paraId="6936B9A6">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营业、办公所消耗电力</w:t>
            </w:r>
          </w:p>
        </w:tc>
        <w:tc>
          <w:tcPr>
            <w:tcW w:w="1929" w:type="dxa"/>
            <w:tcBorders>
              <w:top w:val="nil"/>
              <w:left w:val="nil"/>
              <w:bottom w:val="nil"/>
              <w:right w:val="nil"/>
            </w:tcBorders>
            <w:shd w:val="clear" w:color="auto" w:fill="FFFFFF"/>
            <w:vAlign w:val="center"/>
          </w:tcPr>
          <w:p w14:paraId="6DC0CA76">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兆瓦时</w:t>
            </w:r>
          </w:p>
        </w:tc>
        <w:tc>
          <w:tcPr>
            <w:tcW w:w="1546" w:type="dxa"/>
            <w:tcBorders>
              <w:top w:val="nil"/>
              <w:left w:val="nil"/>
              <w:bottom w:val="nil"/>
              <w:right w:val="nil"/>
            </w:tcBorders>
            <w:shd w:val="clear" w:color="auto" w:fill="FFFFFF"/>
            <w:vAlign w:val="center"/>
          </w:tcPr>
          <w:p w14:paraId="66BE06D5">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2131.67</w:t>
            </w:r>
          </w:p>
        </w:tc>
      </w:tr>
      <w:tr w14:paraId="2600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74AEC2CF">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p>
        </w:tc>
        <w:tc>
          <w:tcPr>
            <w:tcW w:w="4525" w:type="dxa"/>
            <w:tcBorders>
              <w:top w:val="nil"/>
              <w:left w:val="nil"/>
              <w:bottom w:val="nil"/>
              <w:right w:val="nil"/>
            </w:tcBorders>
            <w:shd w:val="clear" w:color="auto" w:fill="FFFFFF"/>
            <w:vAlign w:val="center"/>
          </w:tcPr>
          <w:p w14:paraId="70ACF618">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营业、办公所消耗的水</w:t>
            </w:r>
            <w:r>
              <w:rPr>
                <w:rFonts w:hint="eastAsia" w:ascii="黑体" w:hAnsi="黑体" w:eastAsia="黑体" w:cs="黑体"/>
                <w:b w:val="0"/>
                <w:color w:val="auto"/>
                <w:highlight w:val="none"/>
              </w:rPr>
              <w:footnoteReference w:id="0"/>
            </w:r>
          </w:p>
        </w:tc>
        <w:tc>
          <w:tcPr>
            <w:tcW w:w="1929" w:type="dxa"/>
            <w:tcBorders>
              <w:top w:val="nil"/>
              <w:left w:val="nil"/>
              <w:bottom w:val="nil"/>
              <w:right w:val="nil"/>
            </w:tcBorders>
            <w:shd w:val="clear" w:color="auto" w:fill="FFFFFF"/>
            <w:vAlign w:val="center"/>
          </w:tcPr>
          <w:p w14:paraId="571174CF">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标准立方米</w:t>
            </w:r>
          </w:p>
        </w:tc>
        <w:tc>
          <w:tcPr>
            <w:tcW w:w="1546" w:type="dxa"/>
            <w:tcBorders>
              <w:top w:val="nil"/>
              <w:left w:val="nil"/>
              <w:bottom w:val="nil"/>
              <w:right w:val="nil"/>
            </w:tcBorders>
            <w:shd w:val="clear" w:color="auto" w:fill="FFFFFF"/>
            <w:vAlign w:val="center"/>
          </w:tcPr>
          <w:p w14:paraId="25ECE728">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54760.75</w:t>
            </w:r>
          </w:p>
        </w:tc>
      </w:tr>
      <w:tr w14:paraId="7740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3BC837D4">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p>
        </w:tc>
        <w:tc>
          <w:tcPr>
            <w:tcW w:w="4525" w:type="dxa"/>
            <w:tcBorders>
              <w:top w:val="nil"/>
              <w:left w:val="nil"/>
              <w:bottom w:val="nil"/>
              <w:right w:val="nil"/>
            </w:tcBorders>
            <w:shd w:val="clear" w:color="auto" w:fill="FFFFFF"/>
            <w:vAlign w:val="center"/>
          </w:tcPr>
          <w:p w14:paraId="134A393F">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营业、办公所消耗的燃气</w:t>
            </w:r>
          </w:p>
        </w:tc>
        <w:tc>
          <w:tcPr>
            <w:tcW w:w="1929" w:type="dxa"/>
            <w:tcBorders>
              <w:top w:val="nil"/>
              <w:left w:val="nil"/>
              <w:bottom w:val="nil"/>
              <w:right w:val="nil"/>
            </w:tcBorders>
            <w:shd w:val="clear" w:color="auto" w:fill="FFFFFF"/>
            <w:vAlign w:val="center"/>
          </w:tcPr>
          <w:p w14:paraId="44756B3D">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标准立方米</w:t>
            </w:r>
          </w:p>
        </w:tc>
        <w:tc>
          <w:tcPr>
            <w:tcW w:w="1546" w:type="dxa"/>
            <w:tcBorders>
              <w:top w:val="nil"/>
              <w:left w:val="nil"/>
              <w:bottom w:val="nil"/>
              <w:right w:val="nil"/>
            </w:tcBorders>
            <w:shd w:val="clear" w:color="auto" w:fill="FFFFFF"/>
            <w:vAlign w:val="center"/>
          </w:tcPr>
          <w:p w14:paraId="0062692B">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7856.1</w:t>
            </w:r>
          </w:p>
        </w:tc>
      </w:tr>
      <w:tr w14:paraId="6BFC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1A4B57B3">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p>
        </w:tc>
        <w:tc>
          <w:tcPr>
            <w:tcW w:w="4525" w:type="dxa"/>
            <w:tcBorders>
              <w:top w:val="nil"/>
              <w:left w:val="nil"/>
              <w:bottom w:val="nil"/>
              <w:right w:val="nil"/>
            </w:tcBorders>
            <w:shd w:val="clear" w:color="auto" w:fill="FFFFFF"/>
            <w:vAlign w:val="center"/>
          </w:tcPr>
          <w:p w14:paraId="23717E5F">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自有交通运输工具消耗的汽油量</w:t>
            </w:r>
          </w:p>
        </w:tc>
        <w:tc>
          <w:tcPr>
            <w:tcW w:w="1929" w:type="dxa"/>
            <w:tcBorders>
              <w:top w:val="nil"/>
              <w:left w:val="nil"/>
              <w:bottom w:val="nil"/>
              <w:right w:val="nil"/>
            </w:tcBorders>
            <w:shd w:val="clear" w:color="auto" w:fill="FFFFFF"/>
            <w:vAlign w:val="center"/>
          </w:tcPr>
          <w:p w14:paraId="1EE5E8FD">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升</w:t>
            </w:r>
          </w:p>
        </w:tc>
        <w:tc>
          <w:tcPr>
            <w:tcW w:w="1546" w:type="dxa"/>
            <w:tcBorders>
              <w:top w:val="nil"/>
              <w:left w:val="nil"/>
              <w:bottom w:val="nil"/>
              <w:right w:val="nil"/>
            </w:tcBorders>
            <w:shd w:val="clear" w:color="auto" w:fill="FFFFFF"/>
            <w:vAlign w:val="center"/>
          </w:tcPr>
          <w:p w14:paraId="332E24A0">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70730</w:t>
            </w:r>
          </w:p>
        </w:tc>
      </w:tr>
      <w:tr w14:paraId="06B1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6D7463E9">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p>
        </w:tc>
        <w:tc>
          <w:tcPr>
            <w:tcW w:w="4525" w:type="dxa"/>
            <w:tcBorders>
              <w:top w:val="nil"/>
              <w:left w:val="nil"/>
              <w:bottom w:val="nil"/>
              <w:right w:val="nil"/>
            </w:tcBorders>
            <w:shd w:val="clear" w:color="auto" w:fill="FFFFFF"/>
            <w:vAlign w:val="center"/>
          </w:tcPr>
          <w:p w14:paraId="0499C944">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营业、办公所消耗的纸张</w:t>
            </w:r>
          </w:p>
        </w:tc>
        <w:tc>
          <w:tcPr>
            <w:tcW w:w="1929" w:type="dxa"/>
            <w:tcBorders>
              <w:top w:val="nil"/>
              <w:left w:val="nil"/>
              <w:bottom w:val="nil"/>
              <w:right w:val="nil"/>
            </w:tcBorders>
            <w:shd w:val="clear" w:color="auto" w:fill="FFFFFF"/>
            <w:vAlign w:val="center"/>
          </w:tcPr>
          <w:p w14:paraId="48FF7D74">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公斤</w:t>
            </w:r>
          </w:p>
        </w:tc>
        <w:tc>
          <w:tcPr>
            <w:tcW w:w="1546" w:type="dxa"/>
            <w:tcBorders>
              <w:top w:val="nil"/>
              <w:left w:val="nil"/>
              <w:bottom w:val="nil"/>
              <w:right w:val="nil"/>
            </w:tcBorders>
            <w:shd w:val="clear" w:color="auto" w:fill="FFFFFF"/>
            <w:vAlign w:val="center"/>
          </w:tcPr>
          <w:p w14:paraId="27D7757C">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10073.97</w:t>
            </w:r>
          </w:p>
        </w:tc>
      </w:tr>
      <w:tr w14:paraId="029B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3112D88B">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p>
        </w:tc>
        <w:tc>
          <w:tcPr>
            <w:tcW w:w="4525" w:type="dxa"/>
            <w:tcBorders>
              <w:top w:val="nil"/>
              <w:left w:val="nil"/>
              <w:bottom w:val="nil"/>
              <w:right w:val="nil"/>
            </w:tcBorders>
            <w:shd w:val="clear" w:color="auto" w:fill="FFFFFF"/>
            <w:vAlign w:val="center"/>
          </w:tcPr>
          <w:p w14:paraId="35FADA9F">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温室气体排放总量（范围1+范围2）</w:t>
            </w:r>
          </w:p>
        </w:tc>
        <w:tc>
          <w:tcPr>
            <w:tcW w:w="1929" w:type="dxa"/>
            <w:tcBorders>
              <w:top w:val="nil"/>
              <w:left w:val="nil"/>
              <w:bottom w:val="nil"/>
              <w:right w:val="nil"/>
            </w:tcBorders>
            <w:shd w:val="clear" w:color="auto" w:fill="FFFFFF"/>
            <w:vAlign w:val="center"/>
          </w:tcPr>
          <w:p w14:paraId="14740E53">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吨二氧化碳当量</w:t>
            </w:r>
          </w:p>
        </w:tc>
        <w:tc>
          <w:tcPr>
            <w:tcW w:w="1546" w:type="dxa"/>
            <w:tcBorders>
              <w:top w:val="nil"/>
              <w:left w:val="nil"/>
              <w:bottom w:val="nil"/>
              <w:right w:val="nil"/>
            </w:tcBorders>
            <w:shd w:val="clear" w:color="auto" w:fill="FFFFFF"/>
            <w:vAlign w:val="center"/>
          </w:tcPr>
          <w:p w14:paraId="00874779">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1281.27</w:t>
            </w:r>
          </w:p>
        </w:tc>
      </w:tr>
      <w:tr w14:paraId="43C5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64D310E1">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p>
        </w:tc>
        <w:tc>
          <w:tcPr>
            <w:tcW w:w="4525" w:type="dxa"/>
            <w:tcBorders>
              <w:top w:val="nil"/>
              <w:left w:val="nil"/>
              <w:bottom w:val="nil"/>
              <w:right w:val="nil"/>
            </w:tcBorders>
            <w:shd w:val="clear" w:color="auto" w:fill="FFFFFF"/>
            <w:vAlign w:val="center"/>
          </w:tcPr>
          <w:p w14:paraId="7AB34331">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其中：直接温室气体排放量（范围1）</w:t>
            </w:r>
          </w:p>
        </w:tc>
        <w:tc>
          <w:tcPr>
            <w:tcW w:w="1929" w:type="dxa"/>
            <w:tcBorders>
              <w:top w:val="nil"/>
              <w:left w:val="nil"/>
              <w:bottom w:val="nil"/>
              <w:right w:val="nil"/>
            </w:tcBorders>
            <w:shd w:val="clear" w:color="auto" w:fill="FFFFFF"/>
            <w:vAlign w:val="center"/>
          </w:tcPr>
          <w:p w14:paraId="45DE9B3C">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吨二氧化碳当量</w:t>
            </w:r>
          </w:p>
        </w:tc>
        <w:tc>
          <w:tcPr>
            <w:tcW w:w="1546" w:type="dxa"/>
            <w:tcBorders>
              <w:top w:val="nil"/>
              <w:left w:val="nil"/>
              <w:bottom w:val="nil"/>
              <w:right w:val="nil"/>
            </w:tcBorders>
            <w:shd w:val="clear" w:color="auto" w:fill="FFFFFF"/>
            <w:vAlign w:val="center"/>
          </w:tcPr>
          <w:p w14:paraId="1BB1AA17">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163.58</w:t>
            </w:r>
          </w:p>
        </w:tc>
      </w:tr>
      <w:tr w14:paraId="463E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4DD56B44">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p>
        </w:tc>
        <w:tc>
          <w:tcPr>
            <w:tcW w:w="4525" w:type="dxa"/>
            <w:tcBorders>
              <w:top w:val="nil"/>
              <w:left w:val="nil"/>
              <w:bottom w:val="nil"/>
              <w:right w:val="nil"/>
            </w:tcBorders>
            <w:shd w:val="clear" w:color="auto" w:fill="FFFFFF"/>
            <w:vAlign w:val="center"/>
          </w:tcPr>
          <w:p w14:paraId="66DA7B9F">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间接温室气体排放量（范围2）</w:t>
            </w:r>
          </w:p>
        </w:tc>
        <w:tc>
          <w:tcPr>
            <w:tcW w:w="1929" w:type="dxa"/>
            <w:tcBorders>
              <w:top w:val="nil"/>
              <w:left w:val="nil"/>
              <w:bottom w:val="nil"/>
              <w:right w:val="nil"/>
            </w:tcBorders>
            <w:shd w:val="clear" w:color="auto" w:fill="FFFFFF"/>
            <w:vAlign w:val="center"/>
          </w:tcPr>
          <w:p w14:paraId="1F2B7F5B">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吨二氧化碳当量</w:t>
            </w:r>
          </w:p>
        </w:tc>
        <w:tc>
          <w:tcPr>
            <w:tcW w:w="1546" w:type="dxa"/>
            <w:tcBorders>
              <w:top w:val="nil"/>
              <w:left w:val="nil"/>
              <w:bottom w:val="nil"/>
              <w:right w:val="nil"/>
            </w:tcBorders>
            <w:shd w:val="clear" w:color="auto" w:fill="FFFFFF"/>
            <w:vAlign w:val="center"/>
          </w:tcPr>
          <w:p w14:paraId="6E139550">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1117.69</w:t>
            </w:r>
          </w:p>
        </w:tc>
      </w:tr>
      <w:tr w14:paraId="62B6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06385D9F">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p>
        </w:tc>
        <w:tc>
          <w:tcPr>
            <w:tcW w:w="4525" w:type="dxa"/>
            <w:tcBorders>
              <w:top w:val="nil"/>
              <w:left w:val="nil"/>
              <w:bottom w:val="nil"/>
              <w:right w:val="nil"/>
            </w:tcBorders>
            <w:shd w:val="clear" w:color="auto" w:fill="FFFFFF"/>
            <w:vAlign w:val="center"/>
          </w:tcPr>
          <w:p w14:paraId="5F7A72A1">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温室气体排放总量</w:t>
            </w:r>
          </w:p>
        </w:tc>
        <w:tc>
          <w:tcPr>
            <w:tcW w:w="1929" w:type="dxa"/>
            <w:tcBorders>
              <w:top w:val="nil"/>
              <w:left w:val="nil"/>
              <w:bottom w:val="nil"/>
              <w:right w:val="nil"/>
            </w:tcBorders>
            <w:shd w:val="clear" w:color="auto" w:fill="FFFFFF"/>
            <w:vAlign w:val="center"/>
          </w:tcPr>
          <w:p w14:paraId="656726D3">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吨二氧化碳当量</w:t>
            </w:r>
          </w:p>
        </w:tc>
        <w:tc>
          <w:tcPr>
            <w:tcW w:w="1546" w:type="dxa"/>
            <w:tcBorders>
              <w:top w:val="nil"/>
              <w:left w:val="nil"/>
              <w:bottom w:val="nil"/>
              <w:right w:val="nil"/>
            </w:tcBorders>
            <w:shd w:val="clear" w:color="auto" w:fill="FFFFFF"/>
            <w:vAlign w:val="center"/>
          </w:tcPr>
          <w:p w14:paraId="11ECE7AE">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2013.64</w:t>
            </w:r>
          </w:p>
        </w:tc>
      </w:tr>
      <w:tr w14:paraId="56E3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nil"/>
              <w:right w:val="nil"/>
            </w:tcBorders>
            <w:shd w:val="clear" w:color="auto" w:fill="FFFFFF"/>
            <w:vAlign w:val="center"/>
          </w:tcPr>
          <w:p w14:paraId="48998D33">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p>
        </w:tc>
        <w:tc>
          <w:tcPr>
            <w:tcW w:w="4525" w:type="dxa"/>
            <w:tcBorders>
              <w:top w:val="nil"/>
              <w:left w:val="nil"/>
              <w:bottom w:val="nil"/>
              <w:right w:val="nil"/>
            </w:tcBorders>
            <w:shd w:val="clear" w:color="auto" w:fill="FFFFFF"/>
            <w:vAlign w:val="center"/>
          </w:tcPr>
          <w:p w14:paraId="35635D31">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其中：员工通勤温室气体排放量</w:t>
            </w:r>
          </w:p>
        </w:tc>
        <w:tc>
          <w:tcPr>
            <w:tcW w:w="1929" w:type="dxa"/>
            <w:tcBorders>
              <w:top w:val="nil"/>
              <w:left w:val="nil"/>
              <w:bottom w:val="nil"/>
              <w:right w:val="nil"/>
            </w:tcBorders>
            <w:shd w:val="clear" w:color="auto" w:fill="FFFFFF"/>
            <w:vAlign w:val="center"/>
          </w:tcPr>
          <w:p w14:paraId="246EA157">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吨二氧化碳当量</w:t>
            </w:r>
          </w:p>
        </w:tc>
        <w:tc>
          <w:tcPr>
            <w:tcW w:w="1546" w:type="dxa"/>
            <w:tcBorders>
              <w:top w:val="nil"/>
              <w:left w:val="nil"/>
              <w:bottom w:val="nil"/>
              <w:right w:val="nil"/>
            </w:tcBorders>
            <w:shd w:val="clear" w:color="auto" w:fill="FFFFFF"/>
            <w:vAlign w:val="center"/>
          </w:tcPr>
          <w:p w14:paraId="78850F58">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503.17</w:t>
            </w:r>
          </w:p>
        </w:tc>
      </w:tr>
      <w:tr w14:paraId="6BB6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Borders>
              <w:top w:val="nil"/>
              <w:left w:val="nil"/>
              <w:bottom w:val="single" w:color="000000" w:sz="12" w:space="0"/>
              <w:right w:val="nil"/>
            </w:tcBorders>
            <w:shd w:val="clear" w:color="auto" w:fill="FFFFFF"/>
            <w:vAlign w:val="center"/>
          </w:tcPr>
          <w:p w14:paraId="1F6E3D13">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p>
        </w:tc>
        <w:tc>
          <w:tcPr>
            <w:tcW w:w="4525" w:type="dxa"/>
            <w:tcBorders>
              <w:top w:val="nil"/>
              <w:left w:val="nil"/>
              <w:bottom w:val="single" w:color="000000" w:sz="12" w:space="0"/>
              <w:right w:val="nil"/>
            </w:tcBorders>
            <w:shd w:val="clear" w:color="auto" w:fill="FFFFFF"/>
            <w:vAlign w:val="center"/>
          </w:tcPr>
          <w:p w14:paraId="07FA840B">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员工商务差旅温室气体排放量</w:t>
            </w:r>
          </w:p>
        </w:tc>
        <w:tc>
          <w:tcPr>
            <w:tcW w:w="1929" w:type="dxa"/>
            <w:tcBorders>
              <w:top w:val="nil"/>
              <w:left w:val="nil"/>
              <w:bottom w:val="single" w:color="000000" w:sz="12" w:space="0"/>
              <w:right w:val="nil"/>
            </w:tcBorders>
            <w:shd w:val="clear" w:color="auto" w:fill="FFFFFF"/>
            <w:vAlign w:val="center"/>
          </w:tcPr>
          <w:p w14:paraId="45150920">
            <w:pPr>
              <w:pageBreakBefore w:val="0"/>
              <w:kinsoku/>
              <w:wordWrap/>
              <w:overflowPunct/>
              <w:topLinePunct w:val="0"/>
              <w:bidi w:val="0"/>
              <w:adjustRightInd/>
              <w:snapToGrid/>
              <w:spacing w:line="240" w:lineRule="auto"/>
              <w:ind w:left="0" w:leftChars="0"/>
              <w:jc w:val="center"/>
              <w:rPr>
                <w:rFonts w:hint="eastAsia" w:ascii="黑体" w:hAnsi="黑体" w:eastAsia="黑体" w:cs="黑体"/>
                <w:b w:val="0"/>
                <w:color w:val="auto"/>
                <w:highlight w:val="none"/>
              </w:rPr>
            </w:pPr>
            <w:r>
              <w:rPr>
                <w:rFonts w:hint="eastAsia" w:ascii="黑体" w:hAnsi="黑体" w:eastAsia="黑体" w:cs="黑体"/>
                <w:b w:val="0"/>
                <w:color w:val="auto"/>
                <w:highlight w:val="none"/>
              </w:rPr>
              <w:t>吨二氧化碳当量</w:t>
            </w:r>
          </w:p>
        </w:tc>
        <w:tc>
          <w:tcPr>
            <w:tcW w:w="1546" w:type="dxa"/>
            <w:tcBorders>
              <w:top w:val="nil"/>
              <w:left w:val="nil"/>
              <w:bottom w:val="single" w:color="000000" w:sz="12" w:space="0"/>
              <w:right w:val="nil"/>
            </w:tcBorders>
            <w:shd w:val="clear" w:color="auto" w:fill="FFFFFF"/>
            <w:vAlign w:val="center"/>
          </w:tcPr>
          <w:p w14:paraId="1C3C694C">
            <w:pPr>
              <w:pageBreakBefore w:val="0"/>
              <w:kinsoku/>
              <w:wordWrap/>
              <w:overflowPunct/>
              <w:topLinePunct w:val="0"/>
              <w:bidi w:val="0"/>
              <w:adjustRightInd/>
              <w:snapToGrid/>
              <w:spacing w:line="240" w:lineRule="auto"/>
              <w:ind w:left="0" w:leftChars="0"/>
              <w:jc w:val="right"/>
              <w:rPr>
                <w:rFonts w:hint="eastAsia" w:ascii="黑体" w:hAnsi="黑体" w:eastAsia="黑体" w:cs="黑体"/>
                <w:b w:val="0"/>
                <w:color w:val="auto"/>
                <w:highlight w:val="none"/>
                <w:lang w:val="en-US" w:eastAsia="zh-CN"/>
              </w:rPr>
            </w:pPr>
            <w:r>
              <w:rPr>
                <w:rFonts w:hint="eastAsia" w:ascii="黑体" w:hAnsi="黑体" w:eastAsia="黑体" w:cs="黑体"/>
                <w:b w:val="0"/>
                <w:color w:val="auto"/>
                <w:highlight w:val="none"/>
                <w:lang w:val="en-US" w:eastAsia="zh-CN"/>
              </w:rPr>
              <w:t>177.89</w:t>
            </w:r>
          </w:p>
        </w:tc>
      </w:tr>
    </w:tbl>
    <w:p w14:paraId="5A396882">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18" w:name="_Toc9167"/>
      <w:r>
        <w:rPr>
          <w:rFonts w:hint="eastAsia" w:ascii="黑体" w:hAnsi="黑体" w:eastAsia="黑体" w:cs="黑体"/>
          <w:color w:val="auto"/>
          <w:sz w:val="30"/>
          <w:szCs w:val="30"/>
          <w:highlight w:val="none"/>
        </w:rPr>
        <w:t>（三）战略规划</w:t>
      </w:r>
      <w:bookmarkEnd w:id="18"/>
    </w:p>
    <w:p w14:paraId="586DC354">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以习近平新时代中国特色社会主义思想为指导，深入贯彻习近平总书记在</w:t>
      </w:r>
      <w:r>
        <w:rPr>
          <w:rFonts w:hint="eastAsia" w:ascii="黑体" w:hAnsi="黑体" w:eastAsia="黑体" w:cs="黑体"/>
          <w:color w:val="auto"/>
          <w:sz w:val="30"/>
          <w:szCs w:val="30"/>
          <w:highlight w:val="none"/>
          <w:lang w:val="en-US" w:eastAsia="zh-CN"/>
        </w:rPr>
        <w:t>湖南</w:t>
      </w:r>
      <w:r>
        <w:rPr>
          <w:rFonts w:hint="eastAsia" w:ascii="黑体" w:hAnsi="黑体" w:eastAsia="黑体" w:cs="黑体"/>
          <w:color w:val="auto"/>
          <w:sz w:val="30"/>
          <w:szCs w:val="30"/>
          <w:highlight w:val="none"/>
        </w:rPr>
        <w:t>考察时</w:t>
      </w:r>
      <w:r>
        <w:rPr>
          <w:rFonts w:hint="eastAsia" w:ascii="黑体" w:hAnsi="黑体" w:eastAsia="黑体" w:cs="黑体"/>
          <w:color w:val="auto"/>
          <w:sz w:val="30"/>
          <w:szCs w:val="30"/>
          <w:highlight w:val="none"/>
          <w:lang w:eastAsia="zh-CN"/>
        </w:rPr>
        <w:t>，</w:t>
      </w:r>
      <w:r>
        <w:rPr>
          <w:rFonts w:hint="eastAsia" w:ascii="黑体" w:hAnsi="黑体" w:eastAsia="黑体" w:cs="黑体"/>
          <w:color w:val="auto"/>
          <w:sz w:val="30"/>
          <w:szCs w:val="30"/>
          <w:highlight w:val="none"/>
          <w:lang w:val="en-US" w:eastAsia="zh-CN"/>
        </w:rPr>
        <w:t>勉励湖南打造“三个高地”、践行“四新使命”</w:t>
      </w:r>
      <w:r>
        <w:rPr>
          <w:rFonts w:hint="eastAsia" w:ascii="黑体" w:hAnsi="黑体" w:eastAsia="黑体" w:cs="黑体"/>
          <w:color w:val="auto"/>
          <w:sz w:val="30"/>
          <w:szCs w:val="30"/>
          <w:highlight w:val="none"/>
        </w:rPr>
        <w:t>的重要</w:t>
      </w:r>
      <w:r>
        <w:rPr>
          <w:rFonts w:hint="eastAsia" w:ascii="黑体" w:hAnsi="黑体" w:eastAsia="黑体" w:cs="黑体"/>
          <w:color w:val="auto"/>
          <w:sz w:val="30"/>
          <w:szCs w:val="30"/>
          <w:highlight w:val="none"/>
          <w:lang w:val="en-US" w:eastAsia="zh-CN"/>
        </w:rPr>
        <w:t>讲话</w:t>
      </w:r>
      <w:r>
        <w:rPr>
          <w:rFonts w:hint="eastAsia" w:ascii="黑体" w:hAnsi="黑体" w:eastAsia="黑体" w:cs="黑体"/>
          <w:color w:val="auto"/>
          <w:sz w:val="30"/>
          <w:szCs w:val="30"/>
          <w:highlight w:val="none"/>
        </w:rPr>
        <w:t>精神，全面落实党中央、国务院关于加强生态文明建设、促进绿色发展、打赢污染防治攻坚战，实现“碳中和”“碳达峰”的决策部署，致力提升绿色金融服务能力，打造农村金融主力军，地方金融排头兵、普惠金融领导者，争创</w:t>
      </w:r>
      <w:r>
        <w:rPr>
          <w:rFonts w:hint="eastAsia" w:ascii="黑体" w:hAnsi="黑体" w:eastAsia="黑体" w:cs="黑体"/>
          <w:color w:val="auto"/>
          <w:sz w:val="30"/>
          <w:szCs w:val="30"/>
          <w:highlight w:val="none"/>
          <w:lang w:eastAsia="zh-CN"/>
        </w:rPr>
        <w:t>“</w:t>
      </w:r>
      <w:r>
        <w:rPr>
          <w:rFonts w:hint="eastAsia" w:ascii="黑体" w:hAnsi="黑体" w:eastAsia="黑体" w:cs="黑体"/>
          <w:color w:val="auto"/>
          <w:sz w:val="30"/>
          <w:szCs w:val="30"/>
          <w:highlight w:val="none"/>
          <w:lang w:val="en-US" w:eastAsia="zh-CN"/>
        </w:rPr>
        <w:t>三高四新”创新银行</w:t>
      </w:r>
      <w:r>
        <w:rPr>
          <w:rFonts w:hint="eastAsia" w:ascii="黑体" w:hAnsi="黑体" w:eastAsia="黑体" w:cs="黑体"/>
          <w:color w:val="auto"/>
          <w:sz w:val="30"/>
          <w:szCs w:val="30"/>
          <w:highlight w:val="none"/>
        </w:rPr>
        <w:t>，为客户提供低碳、高效的特色化和专业化金融服务。</w:t>
      </w:r>
    </w:p>
    <w:p w14:paraId="0671A6B8">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在国家双碳目标下，我行</w:t>
      </w:r>
      <w:r>
        <w:rPr>
          <w:rFonts w:hint="eastAsia" w:ascii="黑体" w:hAnsi="黑体" w:eastAsia="黑体" w:cs="黑体"/>
          <w:color w:val="auto"/>
          <w:sz w:val="30"/>
          <w:szCs w:val="30"/>
          <w:highlight w:val="none"/>
        </w:rPr>
        <w:t>将发展绿色金融战略纳入规划中，明确信贷支持方向、重点领域、准入标准和管理要求，并将绿色信贷纳入年度综合考评，确保实现绿色信贷业务规模持续增长。</w:t>
      </w:r>
    </w:p>
    <w:p w14:paraId="7F6F0458">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19" w:name="_Toc13539"/>
      <w:r>
        <w:rPr>
          <w:rFonts w:hint="eastAsia" w:ascii="黑体" w:hAnsi="黑体" w:eastAsia="黑体" w:cs="黑体"/>
          <w:color w:val="auto"/>
          <w:sz w:val="30"/>
          <w:szCs w:val="30"/>
          <w:highlight w:val="none"/>
        </w:rPr>
        <w:t>（四）目标愿景</w:t>
      </w:r>
      <w:bookmarkEnd w:id="19"/>
    </w:p>
    <w:p w14:paraId="22A61675">
      <w:pPr>
        <w:pageBreakBefore w:val="0"/>
        <w:widowControl/>
        <w:kinsoku/>
        <w:wordWrap/>
        <w:overflowPunct/>
        <w:topLinePunct w:val="0"/>
        <w:bidi w:val="0"/>
        <w:adjustRightInd/>
        <w:snapToGrid/>
        <w:spacing w:line="240" w:lineRule="auto"/>
        <w:ind w:left="0" w:leftChars="0" w:firstLine="600" w:firstLineChars="200"/>
        <w:textAlignment w:val="center"/>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我行明确了核心经营指标，根据《湖南农信系统2021-2025年改革发展总体规划》的精神和要求，紧紧围绕“建设有温度的百姓银行”发展愿景，确定了</w:t>
      </w:r>
      <w:r>
        <w:rPr>
          <w:rFonts w:hint="eastAsia" w:ascii="黑体" w:hAnsi="黑体" w:eastAsia="黑体" w:cs="黑体"/>
          <w:color w:val="auto"/>
          <w:sz w:val="30"/>
          <w:szCs w:val="30"/>
          <w:highlight w:val="none"/>
          <w:lang w:eastAsia="zh-CN"/>
        </w:rPr>
        <w:t>近年</w:t>
      </w:r>
      <w:r>
        <w:rPr>
          <w:rFonts w:hint="eastAsia" w:ascii="黑体" w:hAnsi="黑体" w:eastAsia="黑体" w:cs="黑体"/>
          <w:color w:val="auto"/>
          <w:sz w:val="30"/>
          <w:szCs w:val="30"/>
          <w:highlight w:val="none"/>
        </w:rPr>
        <w:t>的发展目标，包含资产负债、资金组织、信贷投放、资产质量、经营效益、转型业务、监管指标、市场份额、等级指标等核心业务规模及质量效益指标目标共计27项。</w:t>
      </w:r>
    </w:p>
    <w:p w14:paraId="19C8ECE0">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深刻认识到气候、环境、生态对于经济与社会发展的影响，高度重视通过绿色信贷等绿色金融产品和服务支持实体经济绿色化发展。在绿色金融方面，提出绿色信贷管理目标、绿色信贷投放目标、绿色融资创新目标及绿色运营目标等发展目标：</w:t>
      </w:r>
    </w:p>
    <w:p w14:paraId="1FC9A243">
      <w:pPr>
        <w:pStyle w:val="27"/>
        <w:pageBreakBefore w:val="0"/>
        <w:numPr>
          <w:ilvl w:val="0"/>
          <w:numId w:val="1"/>
        </w:numPr>
        <w:kinsoku/>
        <w:wordWrap/>
        <w:overflowPunct/>
        <w:topLinePunct w:val="0"/>
        <w:bidi w:val="0"/>
        <w:adjustRightInd/>
        <w:snapToGrid/>
        <w:spacing w:line="240" w:lineRule="auto"/>
        <w:ind w:left="0" w:leftChars="0" w:firstLine="602" w:firstLineChars="200"/>
        <w:outlineLvl w:val="3"/>
        <w:rPr>
          <w:rFonts w:hint="eastAsia" w:ascii="黑体" w:hAnsi="黑体" w:eastAsia="黑体" w:cs="黑体"/>
          <w:b/>
          <w:bCs/>
          <w:color w:val="auto"/>
          <w:sz w:val="30"/>
          <w:szCs w:val="30"/>
          <w:highlight w:val="none"/>
        </w:rPr>
      </w:pPr>
      <w:r>
        <w:rPr>
          <w:rFonts w:hint="eastAsia" w:ascii="黑体" w:hAnsi="黑体" w:eastAsia="黑体" w:cs="黑体"/>
          <w:b/>
          <w:bCs/>
          <w:color w:val="auto"/>
          <w:sz w:val="30"/>
          <w:szCs w:val="30"/>
          <w:highlight w:val="none"/>
        </w:rPr>
        <w:t>绿色信贷管理目标</w:t>
      </w:r>
    </w:p>
    <w:p w14:paraId="523A9142">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202</w:t>
      </w:r>
      <w:r>
        <w:rPr>
          <w:rFonts w:hint="eastAsia" w:ascii="黑体" w:hAnsi="黑体" w:eastAsia="黑体" w:cs="黑体"/>
          <w:color w:val="auto"/>
          <w:sz w:val="30"/>
          <w:szCs w:val="30"/>
          <w:highlight w:val="none"/>
          <w:lang w:val="en-US" w:eastAsia="zh-CN"/>
        </w:rPr>
        <w:t>6</w:t>
      </w:r>
      <w:r>
        <w:rPr>
          <w:rFonts w:hint="eastAsia" w:ascii="黑体" w:hAnsi="黑体" w:eastAsia="黑体" w:cs="黑体"/>
          <w:color w:val="auto"/>
          <w:sz w:val="30"/>
          <w:szCs w:val="30"/>
          <w:highlight w:val="none"/>
        </w:rPr>
        <w:t>年，</w:t>
      </w:r>
      <w:r>
        <w:rPr>
          <w:rFonts w:hint="eastAsia" w:ascii="黑体" w:hAnsi="黑体" w:eastAsia="黑体" w:cs="黑体"/>
          <w:color w:val="auto"/>
          <w:sz w:val="30"/>
          <w:szCs w:val="30"/>
          <w:highlight w:val="none"/>
        </w:rPr>
        <w:t>我行将基本建立绿色信贷管理框架；</w:t>
      </w:r>
      <w:r>
        <w:rPr>
          <w:rFonts w:hint="eastAsia" w:ascii="黑体" w:hAnsi="黑体" w:eastAsia="黑体" w:cs="黑体"/>
          <w:color w:val="auto"/>
          <w:sz w:val="30"/>
          <w:szCs w:val="30"/>
          <w:highlight w:val="none"/>
        </w:rPr>
        <w:t>在十</w:t>
      </w:r>
      <w:r>
        <w:rPr>
          <w:rFonts w:hint="eastAsia" w:ascii="黑体" w:hAnsi="黑体" w:eastAsia="黑体" w:cs="黑体"/>
          <w:color w:val="auto"/>
          <w:sz w:val="30"/>
          <w:szCs w:val="30"/>
          <w:highlight w:val="none"/>
          <w:lang w:eastAsia="zh-CN"/>
        </w:rPr>
        <w:t>五</w:t>
      </w:r>
      <w:r>
        <w:rPr>
          <w:rFonts w:hint="eastAsia" w:ascii="黑体" w:hAnsi="黑体" w:eastAsia="黑体" w:cs="黑体"/>
          <w:color w:val="auto"/>
          <w:sz w:val="30"/>
          <w:szCs w:val="30"/>
          <w:highlight w:val="none"/>
        </w:rPr>
        <w:t>五期间，</w:t>
      </w:r>
      <w:r>
        <w:rPr>
          <w:rFonts w:hint="eastAsia" w:ascii="黑体" w:hAnsi="黑体" w:eastAsia="黑体" w:cs="黑体"/>
          <w:color w:val="auto"/>
          <w:sz w:val="30"/>
          <w:szCs w:val="30"/>
          <w:highlight w:val="none"/>
        </w:rPr>
        <w:t>将建立健全绿色信贷管理系统。</w:t>
      </w:r>
    </w:p>
    <w:p w14:paraId="61A3BE01">
      <w:pPr>
        <w:pStyle w:val="27"/>
        <w:pageBreakBefore w:val="0"/>
        <w:numPr>
          <w:ilvl w:val="0"/>
          <w:numId w:val="1"/>
        </w:numPr>
        <w:kinsoku/>
        <w:wordWrap/>
        <w:overflowPunct/>
        <w:topLinePunct w:val="0"/>
        <w:bidi w:val="0"/>
        <w:adjustRightInd/>
        <w:snapToGrid/>
        <w:spacing w:line="240" w:lineRule="auto"/>
        <w:ind w:left="0" w:leftChars="0" w:firstLine="602" w:firstLineChars="200"/>
        <w:outlineLvl w:val="3"/>
        <w:rPr>
          <w:rFonts w:hint="eastAsia" w:ascii="黑体" w:hAnsi="黑体" w:eastAsia="黑体" w:cs="黑体"/>
          <w:b/>
          <w:bCs/>
          <w:color w:val="auto"/>
          <w:sz w:val="30"/>
          <w:szCs w:val="30"/>
          <w:highlight w:val="none"/>
        </w:rPr>
      </w:pPr>
      <w:r>
        <w:rPr>
          <w:rFonts w:hint="eastAsia" w:ascii="黑体" w:hAnsi="黑体" w:eastAsia="黑体" w:cs="黑体"/>
          <w:b/>
          <w:bCs/>
          <w:color w:val="auto"/>
          <w:sz w:val="30"/>
          <w:szCs w:val="30"/>
          <w:highlight w:val="none"/>
        </w:rPr>
        <w:t>绿色信贷投放目标</w:t>
      </w:r>
    </w:p>
    <w:p w14:paraId="0D19CECF">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我行围绕“零售化、特色化”转型，选择符合国家产业和绿色环保政策、契合区域资源特色、具备商业可持续的优质小微企业客户；同时</w:t>
      </w:r>
      <w:r>
        <w:rPr>
          <w:rFonts w:hint="eastAsia" w:ascii="黑体" w:hAnsi="黑体" w:eastAsia="黑体" w:cs="黑体"/>
          <w:color w:val="auto"/>
          <w:sz w:val="30"/>
          <w:szCs w:val="30"/>
          <w:highlight w:val="none"/>
        </w:rPr>
        <w:t>推行差异化信贷政策，支持全市绿色工业、绿色农业的发展以及绿色城镇的建设，加大对节能环保项目、绿色建筑项目、绿色交通项目和绿色消费项目的支持力度，力争实现增速、增量、客户数“三个不低于”目标（即绿色信贷增速不低于各项贷款评价增速、绿色信贷增量不低于上年同期水平、绿色信贷客户数不低于上年同期水平）；我行逐步完善绿色信贷</w:t>
      </w:r>
      <w:r>
        <w:rPr>
          <w:rFonts w:hint="eastAsia" w:ascii="黑体" w:hAnsi="黑体" w:eastAsia="黑体" w:cs="黑体"/>
          <w:color w:val="auto"/>
          <w:sz w:val="30"/>
          <w:szCs w:val="30"/>
          <w:highlight w:val="none"/>
          <w:lang w:val="en-US" w:eastAsia="zh-CN"/>
        </w:rPr>
        <w:t>投向</w:t>
      </w:r>
      <w:r>
        <w:rPr>
          <w:rFonts w:hint="eastAsia" w:ascii="黑体" w:hAnsi="黑体" w:eastAsia="黑体" w:cs="黑体"/>
          <w:color w:val="auto"/>
          <w:sz w:val="30"/>
          <w:szCs w:val="30"/>
          <w:highlight w:val="none"/>
        </w:rPr>
        <w:t>，</w:t>
      </w:r>
      <w:r>
        <w:rPr>
          <w:rFonts w:hint="eastAsia" w:ascii="黑体" w:hAnsi="黑体" w:eastAsia="黑体" w:cs="黑体"/>
          <w:color w:val="auto"/>
          <w:sz w:val="30"/>
          <w:szCs w:val="30"/>
          <w:highlight w:val="none"/>
        </w:rPr>
        <w:t>预计到202</w:t>
      </w:r>
      <w:r>
        <w:rPr>
          <w:rFonts w:hint="eastAsia" w:ascii="黑体" w:hAnsi="黑体" w:eastAsia="黑体" w:cs="黑体"/>
          <w:color w:val="auto"/>
          <w:sz w:val="30"/>
          <w:szCs w:val="30"/>
          <w:highlight w:val="none"/>
          <w:lang w:val="en-US" w:eastAsia="zh-CN"/>
        </w:rPr>
        <w:t>6</w:t>
      </w:r>
      <w:r>
        <w:rPr>
          <w:rFonts w:hint="eastAsia" w:ascii="黑体" w:hAnsi="黑体" w:eastAsia="黑体" w:cs="黑体"/>
          <w:color w:val="auto"/>
          <w:sz w:val="30"/>
          <w:szCs w:val="30"/>
          <w:highlight w:val="none"/>
        </w:rPr>
        <w:t>年绿色信贷投放</w:t>
      </w:r>
      <w:r>
        <w:rPr>
          <w:rFonts w:hint="eastAsia" w:ascii="黑体" w:hAnsi="黑体" w:eastAsia="黑体" w:cs="黑体"/>
          <w:color w:val="auto"/>
          <w:sz w:val="30"/>
          <w:szCs w:val="30"/>
          <w:highlight w:val="none"/>
          <w:lang w:val="en-US" w:eastAsia="zh-CN"/>
        </w:rPr>
        <w:t>较2020年年均</w:t>
      </w:r>
      <w:r>
        <w:rPr>
          <w:rFonts w:hint="eastAsia" w:ascii="黑体" w:hAnsi="黑体" w:eastAsia="黑体" w:cs="黑体"/>
          <w:color w:val="auto"/>
          <w:sz w:val="30"/>
          <w:szCs w:val="30"/>
          <w:highlight w:val="none"/>
        </w:rPr>
        <w:t>增加</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rPr>
        <w:t>5%左右。</w:t>
      </w:r>
    </w:p>
    <w:p w14:paraId="0918F387">
      <w:pPr>
        <w:pStyle w:val="27"/>
        <w:pageBreakBefore w:val="0"/>
        <w:numPr>
          <w:ilvl w:val="0"/>
          <w:numId w:val="1"/>
        </w:numPr>
        <w:kinsoku/>
        <w:wordWrap/>
        <w:overflowPunct/>
        <w:topLinePunct w:val="0"/>
        <w:bidi w:val="0"/>
        <w:adjustRightInd/>
        <w:snapToGrid/>
        <w:spacing w:line="240" w:lineRule="auto"/>
        <w:ind w:left="0" w:leftChars="0" w:firstLine="602" w:firstLineChars="200"/>
        <w:outlineLvl w:val="3"/>
        <w:rPr>
          <w:rFonts w:hint="eastAsia" w:ascii="黑体" w:hAnsi="黑体" w:eastAsia="黑体" w:cs="黑体"/>
          <w:b/>
          <w:bCs/>
          <w:color w:val="auto"/>
          <w:sz w:val="30"/>
          <w:szCs w:val="30"/>
          <w:highlight w:val="none"/>
        </w:rPr>
      </w:pPr>
      <w:r>
        <w:rPr>
          <w:rFonts w:hint="eastAsia" w:ascii="黑体" w:hAnsi="黑体" w:eastAsia="黑体" w:cs="黑体"/>
          <w:b/>
          <w:bCs/>
          <w:color w:val="auto"/>
          <w:sz w:val="30"/>
          <w:szCs w:val="30"/>
          <w:highlight w:val="none"/>
        </w:rPr>
        <w:t>绿色融资创新目标</w:t>
      </w:r>
    </w:p>
    <w:p w14:paraId="64FFC3EC">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我行将探索开发推广特许经营权质押、碳排放权、节能减排融资等绿色信贷产品，开发绿色车贷、绿色消费贷等零售类金融产品，推进碳排放权、排污权等担保方式创新，全方位提升绿色金融供给水平。</w:t>
      </w:r>
    </w:p>
    <w:p w14:paraId="295A1C30">
      <w:pPr>
        <w:pStyle w:val="27"/>
        <w:pageBreakBefore w:val="0"/>
        <w:numPr>
          <w:ilvl w:val="0"/>
          <w:numId w:val="1"/>
        </w:numPr>
        <w:kinsoku/>
        <w:wordWrap/>
        <w:overflowPunct/>
        <w:topLinePunct w:val="0"/>
        <w:bidi w:val="0"/>
        <w:adjustRightInd/>
        <w:snapToGrid/>
        <w:spacing w:line="240" w:lineRule="auto"/>
        <w:ind w:left="0" w:leftChars="0" w:firstLine="602" w:firstLineChars="200"/>
        <w:outlineLvl w:val="3"/>
        <w:rPr>
          <w:rFonts w:hint="eastAsia" w:ascii="黑体" w:hAnsi="黑体" w:eastAsia="黑体" w:cs="黑体"/>
          <w:b/>
          <w:bCs/>
          <w:color w:val="auto"/>
          <w:sz w:val="30"/>
          <w:szCs w:val="30"/>
          <w:highlight w:val="none"/>
        </w:rPr>
      </w:pPr>
      <w:r>
        <w:rPr>
          <w:rFonts w:hint="eastAsia" w:ascii="黑体" w:hAnsi="黑体" w:eastAsia="黑体" w:cs="黑体"/>
          <w:b/>
          <w:bCs/>
          <w:color w:val="auto"/>
          <w:sz w:val="30"/>
          <w:szCs w:val="30"/>
          <w:highlight w:val="none"/>
        </w:rPr>
        <w:t>绿色运营目标</w:t>
      </w:r>
    </w:p>
    <w:p w14:paraId="49873721">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加快推进绿色金融理念全面融入内部运营体系，研究开展碳核算工作，强化绿色金融、气候、环境信息披露，助力我国碳达峰、碳中和目标的实现。同时，升级改造我行自主开发的“企贷通”系统，将企业能耗等融资环境效益测算所需数据嵌入贷前信贷流程，为后期环境信息披露奠定数据基础。</w:t>
      </w:r>
    </w:p>
    <w:p w14:paraId="2E8AF28A">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202</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rPr>
        <w:t>年，全行自身运营所消耗的电力控制在2650兆瓦时以内；办公用纸使用量控制在16.5吨以内。</w:t>
      </w:r>
    </w:p>
    <w:p w14:paraId="192E0160">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未来我行将坚定不移地推动绿色金融业务持续增长，通过产品创新，实现绿色金融业务高质量发展。持续推进绿色运营，降低碳排放强度，加强绿色支行建设，全体员工将上下一心，统一目标，在开展经营活动产生经济效益的同时，积极承担社会责任，牢固树立“创新、协调、绿色、开发、共享”绿色发展理念，深入贯彻湖南省金融助力碳达峰碳中和及绿色投融资的指导精神，全面落实绿色金融服务实体经济，促进区域产业绿色转型升级，持续提升绿色金融服务水平，全力打造区域绿色普惠金融标杆银行。</w:t>
      </w:r>
    </w:p>
    <w:p w14:paraId="6A28BDEF">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20" w:name="_Toc3600"/>
      <w:r>
        <w:rPr>
          <w:rFonts w:hint="eastAsia" w:ascii="黑体" w:hAnsi="黑体" w:eastAsia="黑体" w:cs="黑体"/>
          <w:color w:val="auto"/>
          <w:sz w:val="30"/>
          <w:szCs w:val="30"/>
          <w:highlight w:val="none"/>
        </w:rPr>
        <w:t>（五）任务举措</w:t>
      </w:r>
      <w:bookmarkEnd w:id="20"/>
    </w:p>
    <w:p w14:paraId="740EC1CE">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我行结合省联社</w:t>
      </w:r>
      <w:r>
        <w:rPr>
          <w:rFonts w:hint="eastAsia" w:ascii="黑体" w:hAnsi="黑体" w:eastAsia="黑体" w:cs="黑体"/>
          <w:color w:val="auto"/>
          <w:sz w:val="30"/>
          <w:szCs w:val="30"/>
          <w:highlight w:val="none"/>
          <w:lang w:eastAsia="zh-CN"/>
        </w:rPr>
        <w:t>《</w:t>
      </w:r>
      <w:r>
        <w:rPr>
          <w:rFonts w:hint="eastAsia" w:ascii="黑体" w:hAnsi="黑体" w:eastAsia="黑体" w:cs="黑体"/>
          <w:color w:val="auto"/>
          <w:sz w:val="30"/>
          <w:szCs w:val="30"/>
          <w:highlight w:val="none"/>
        </w:rPr>
        <w:t>关于加快推进湖南农信系统高质量发展的意见</w:t>
      </w:r>
      <w:r>
        <w:rPr>
          <w:rFonts w:hint="eastAsia" w:ascii="黑体" w:hAnsi="黑体" w:eastAsia="黑体" w:cs="黑体"/>
          <w:color w:val="auto"/>
          <w:sz w:val="30"/>
          <w:szCs w:val="30"/>
          <w:highlight w:val="none"/>
          <w:lang w:eastAsia="zh-CN"/>
        </w:rPr>
        <w:t>》</w:t>
      </w:r>
      <w:r>
        <w:rPr>
          <w:rFonts w:hint="eastAsia" w:ascii="黑体" w:hAnsi="黑体" w:eastAsia="黑体" w:cs="黑体"/>
          <w:color w:val="auto"/>
          <w:sz w:val="30"/>
          <w:szCs w:val="30"/>
          <w:highlight w:val="none"/>
        </w:rPr>
        <w:t>，</w:t>
      </w:r>
      <w:r>
        <w:rPr>
          <w:rFonts w:hint="eastAsia" w:ascii="黑体" w:hAnsi="黑体" w:eastAsia="黑体" w:cs="黑体"/>
          <w:color w:val="auto"/>
          <w:sz w:val="30"/>
          <w:szCs w:val="30"/>
          <w:highlight w:val="none"/>
        </w:rPr>
        <w:t>切实提高政治站位，以习近平新时代中国特色社会主义思想为指导，全面贯彻党的二十大和中央金融工作会议部署，深入贯彻落实习近平总书记关于湖南工作重要讲话和指示批示精神，全面落实省委十二届四次全会关于高质量发展工作要求，坚持以人民为中心的发展思想，落实“创新、协调、绿色、开放、共享”新发展理念，推动向质量效益型转变，</w:t>
      </w:r>
    </w:p>
    <w:p w14:paraId="15E00D4F">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聚焦“绿色金融”，支持地方绿色产业快速发展。实施绿色金融工程，制定绿色金融发展战略和工作规划</w:t>
      </w:r>
      <w:r>
        <w:rPr>
          <w:rFonts w:hint="eastAsia" w:ascii="黑体" w:hAnsi="黑体" w:eastAsia="黑体" w:cs="黑体"/>
          <w:color w:val="auto"/>
          <w:sz w:val="30"/>
          <w:szCs w:val="30"/>
          <w:highlight w:val="none"/>
          <w:lang w:eastAsia="zh-CN"/>
        </w:rPr>
        <w:t>及《</w:t>
      </w:r>
      <w:r>
        <w:rPr>
          <w:rFonts w:hint="eastAsia" w:ascii="黑体" w:hAnsi="黑体" w:eastAsia="黑体" w:cs="黑体"/>
          <w:color w:val="auto"/>
          <w:sz w:val="30"/>
          <w:szCs w:val="30"/>
          <w:highlight w:val="none"/>
        </w:rPr>
        <w:t>株洲农村商业银行股份有限公司</w:t>
      </w:r>
      <w:r>
        <w:rPr>
          <w:rFonts w:hint="eastAsia" w:ascii="黑体" w:hAnsi="黑体" w:eastAsia="黑体" w:cs="黑体"/>
          <w:color w:val="auto"/>
          <w:sz w:val="30"/>
          <w:szCs w:val="30"/>
          <w:highlight w:val="none"/>
        </w:rPr>
        <w:t>绿色信贷实施管理办法</w:t>
      </w:r>
      <w:r>
        <w:rPr>
          <w:rFonts w:hint="eastAsia" w:ascii="黑体" w:hAnsi="黑体" w:eastAsia="黑体" w:cs="黑体"/>
          <w:color w:val="auto"/>
          <w:sz w:val="30"/>
          <w:szCs w:val="30"/>
          <w:highlight w:val="none"/>
          <w:lang w:eastAsia="zh-CN"/>
        </w:rPr>
        <w:t>（试行）》</w:t>
      </w:r>
      <w:r>
        <w:rPr>
          <w:rFonts w:hint="eastAsia" w:ascii="黑体" w:hAnsi="黑体" w:eastAsia="黑体" w:cs="黑体"/>
          <w:color w:val="auto"/>
          <w:sz w:val="30"/>
          <w:szCs w:val="30"/>
          <w:highlight w:val="none"/>
        </w:rPr>
        <w:t>，将绿色信贷与发展规划紧密结合起来，逐步建立绿色信贷专业化体系。加大绿色信贷投放，实行差异化信贷政策，支持全市绿色工业、绿色农业的发展以及绿色城镇的建设，加大对节能环保项目、绿色建筑项目、绿色交通项目和绿色消费项目的支持力度，力争实现增速、增量、客户数“三个不低于”目标（即绿色信贷增速不低于各项贷款评价增速、绿色信贷增量不低于上年同期水平、绿色信贷客户数不低于上年同期水平）。设立绿色金融事业部或绿色支行，打造绿色金融专职服务团队，做到绿色融资优先审批和优惠利率“双优”。建立和完善绿色信贷管理制度，推动绿色融资产品和服务创新，探索开发推广特许经营权质押、碳排放权、节能减排融资等绿色信贷产品，开发绿色车贷、绿色消费贷等零售类金融产品，推进碳排放权、排污权等担保方式创新，全方位提升绿色金融供给水平。</w:t>
      </w:r>
    </w:p>
    <w:p w14:paraId="0075B548">
      <w:pPr>
        <w:pStyle w:val="2"/>
        <w:pageBreakBefore w:val="0"/>
        <w:kinsoku/>
        <w:wordWrap/>
        <w:overflowPunct/>
        <w:topLinePunct w:val="0"/>
        <w:bidi w:val="0"/>
        <w:adjustRightInd/>
        <w:snapToGrid/>
        <w:spacing w:before="0" w:after="0" w:line="240" w:lineRule="auto"/>
        <w:ind w:left="0" w:leftChars="0" w:firstLine="640" w:firstLineChars="200"/>
        <w:rPr>
          <w:rFonts w:hint="eastAsia" w:ascii="黑体" w:hAnsi="黑体" w:eastAsia="黑体" w:cs="黑体"/>
          <w:b w:val="0"/>
          <w:color w:val="auto"/>
          <w:sz w:val="32"/>
          <w:highlight w:val="none"/>
        </w:rPr>
      </w:pPr>
      <w:bookmarkStart w:id="21" w:name="_Toc3329"/>
      <w:r>
        <w:rPr>
          <w:rFonts w:hint="eastAsia" w:ascii="黑体" w:hAnsi="黑体" w:eastAsia="黑体" w:cs="黑体"/>
          <w:b w:val="0"/>
          <w:color w:val="auto"/>
          <w:sz w:val="32"/>
          <w:highlight w:val="none"/>
        </w:rPr>
        <w:t>三、环境相关治理结构</w:t>
      </w:r>
      <w:bookmarkEnd w:id="21"/>
    </w:p>
    <w:p w14:paraId="7C615F84">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在环境治理方面，我行在总行层面建立相关组织架构，设立了绿色金融相关机构及牵头部门，具体如下：</w:t>
      </w:r>
    </w:p>
    <w:p w14:paraId="5362AE13">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22" w:name="_Toc8631"/>
      <w:r>
        <w:rPr>
          <w:rFonts w:hint="eastAsia" w:ascii="黑体" w:hAnsi="黑体" w:eastAsia="黑体" w:cs="黑体"/>
          <w:color w:val="auto"/>
          <w:sz w:val="30"/>
          <w:szCs w:val="30"/>
          <w:highlight w:val="none"/>
        </w:rPr>
        <w:t>（一）组织体系</w:t>
      </w:r>
      <w:bookmarkEnd w:id="22"/>
    </w:p>
    <w:p w14:paraId="5C5EC46D">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聚焦绿色金融、环境治理等多个重点领域，领导小组由董事长任组长、其他班子成员任副组长，各部室、各支行负责人为成员。领导小组下设规划实施办公室，分管办公室的党委班子成员任办公室主任，主要负责统筹协调规划实施各项具体工作，推动“十四五”规划落实。</w:t>
      </w:r>
    </w:p>
    <w:p w14:paraId="197D8A21">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23" w:name="_Toc23590"/>
      <w:r>
        <w:rPr>
          <w:rFonts w:hint="eastAsia" w:ascii="黑体" w:hAnsi="黑体" w:eastAsia="黑体" w:cs="黑体"/>
          <w:color w:val="auto"/>
          <w:sz w:val="30"/>
          <w:szCs w:val="30"/>
          <w:highlight w:val="none"/>
        </w:rPr>
        <w:t>（二）机构设置</w:t>
      </w:r>
      <w:bookmarkEnd w:id="23"/>
    </w:p>
    <w:p w14:paraId="3C211C9E">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设立了绿色金融事业中心及绿色支行，打造绿色金融专职团队，做到绿色融资优先审批和优惠利率“双优”，并根据不同绿色项目类型精准对接不同支行，提升绿色金融工作效率，做好绿色客户建设，切实执行各项绿色金融专属政策，如动力谷支行、天台山支行主要负责对接株洲市高新区等国家绿色园区，助推产业和园区绿色化、节能低碳化改造，雷打石支行、云田支行</w:t>
      </w:r>
      <w:r>
        <w:rPr>
          <w:rFonts w:hint="eastAsia" w:ascii="黑体" w:hAnsi="黑体" w:eastAsia="黑体" w:cs="黑体"/>
          <w:color w:val="auto"/>
          <w:sz w:val="30"/>
          <w:szCs w:val="30"/>
          <w:highlight w:val="none"/>
          <w:lang w:eastAsia="zh-CN"/>
        </w:rPr>
        <w:t>、</w:t>
      </w:r>
      <w:r>
        <w:rPr>
          <w:rFonts w:hint="eastAsia" w:ascii="黑体" w:hAnsi="黑体" w:eastAsia="黑体" w:cs="黑体"/>
          <w:color w:val="auto"/>
          <w:sz w:val="30"/>
          <w:szCs w:val="30"/>
          <w:highlight w:val="none"/>
          <w:lang w:val="en-US" w:eastAsia="zh-CN"/>
        </w:rPr>
        <w:t>群丰支行</w:t>
      </w:r>
      <w:r>
        <w:rPr>
          <w:rFonts w:hint="eastAsia" w:ascii="黑体" w:hAnsi="黑体" w:eastAsia="黑体" w:cs="黑体"/>
          <w:color w:val="auto"/>
          <w:sz w:val="30"/>
          <w:szCs w:val="30"/>
          <w:highlight w:val="none"/>
        </w:rPr>
        <w:t>主要负责对接绿色农业、乡村振兴等绿色农业，支持现代农业产业升级。</w:t>
      </w:r>
    </w:p>
    <w:p w14:paraId="78BD3444">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在风险管理方面，我行按照《株洲农村商业银行股份有限公司</w:t>
      </w:r>
      <w:r>
        <w:rPr>
          <w:rFonts w:hint="eastAsia" w:ascii="黑体" w:hAnsi="黑体" w:eastAsia="黑体" w:cs="黑体"/>
          <w:color w:val="auto"/>
          <w:sz w:val="30"/>
          <w:szCs w:val="30"/>
          <w:highlight w:val="none"/>
          <w:lang w:val="en-US" w:eastAsia="zh-CN"/>
        </w:rPr>
        <w:t>绿色</w:t>
      </w:r>
      <w:r>
        <w:rPr>
          <w:rFonts w:hint="eastAsia" w:ascii="黑体" w:hAnsi="黑体" w:eastAsia="黑体" w:cs="黑体"/>
          <w:color w:val="auto"/>
          <w:sz w:val="30"/>
          <w:szCs w:val="30"/>
          <w:highlight w:val="none"/>
        </w:rPr>
        <w:t>信贷投向指引》做好绿色项目的甄别与遴选，建立绿色项目审批快速通道，主动识别风险、管理风险、化解风险。</w:t>
      </w:r>
    </w:p>
    <w:p w14:paraId="379CF086">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下一步，随着绿色金融工作的持续开展，本行将逐步单设绿色金融部，负责全行绿色金融、环境治理相关工作年度计划并组织实施。</w:t>
      </w:r>
    </w:p>
    <w:p w14:paraId="16165417">
      <w:pPr>
        <w:pStyle w:val="2"/>
        <w:pageBreakBefore w:val="0"/>
        <w:kinsoku/>
        <w:wordWrap/>
        <w:overflowPunct/>
        <w:topLinePunct w:val="0"/>
        <w:bidi w:val="0"/>
        <w:adjustRightInd/>
        <w:snapToGrid/>
        <w:spacing w:before="0" w:after="0" w:line="240" w:lineRule="auto"/>
        <w:ind w:left="0" w:leftChars="0" w:firstLine="640" w:firstLineChars="200"/>
        <w:rPr>
          <w:rFonts w:hint="eastAsia" w:ascii="黑体" w:hAnsi="黑体" w:eastAsia="黑体" w:cs="黑体"/>
          <w:b w:val="0"/>
          <w:color w:val="auto"/>
          <w:sz w:val="32"/>
          <w:highlight w:val="none"/>
        </w:rPr>
      </w:pPr>
      <w:bookmarkStart w:id="24" w:name="_Toc31632"/>
      <w:r>
        <w:rPr>
          <w:rFonts w:hint="eastAsia" w:ascii="黑体" w:hAnsi="黑体" w:eastAsia="黑体" w:cs="黑体"/>
          <w:b w:val="0"/>
          <w:color w:val="auto"/>
          <w:sz w:val="32"/>
          <w:highlight w:val="none"/>
        </w:rPr>
        <w:t>四、环境相关政策制度</w:t>
      </w:r>
      <w:bookmarkEnd w:id="24"/>
    </w:p>
    <w:p w14:paraId="52EF7453">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围绕国家“2030年碳排放达峰、2060年实现碳中和”的战略目标，积极响应国家及地区绿色金融发展相关政策，深入落实中央关于打好污染防治攻坚战的部署与生态环境部《关于促进气候变化投融资的指导意见》要求，基于湖南省金融机构监管部门大力推动金融助力碳达峰、碳中和及绿色投融资发展相关要求，我行制定了绿色金融相关政策制度。</w:t>
      </w:r>
    </w:p>
    <w:p w14:paraId="66FBB454">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25" w:name="_Toc18399"/>
      <w:r>
        <w:rPr>
          <w:rFonts w:hint="eastAsia" w:ascii="黑体" w:hAnsi="黑体" w:eastAsia="黑体" w:cs="黑体"/>
          <w:color w:val="auto"/>
          <w:sz w:val="30"/>
          <w:szCs w:val="30"/>
          <w:highlight w:val="none"/>
        </w:rPr>
        <w:t>（一）绿色金融发展规划</w:t>
      </w:r>
      <w:bookmarkEnd w:id="25"/>
    </w:p>
    <w:p w14:paraId="59DE35CC">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行紧紧围绕国家战略目标，践行“创新、协调、绿色、开放、共享”五大发展理念，紧抓实体经济转型带来的巨大绿色低碳投融资机遇，支持绿色产业发展，大力发展绿色信贷、绿色债券等绿色金融业务。同时，加强环境风险防控，着力防范由转型风险和实体风险所带来的各种金融风险，逐步探索完善防范和管理环境与气候风险的相关机制，为减缓和适应气候变化提供株洲方案。</w:t>
      </w:r>
    </w:p>
    <w:p w14:paraId="08249021">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26" w:name="_Toc24376"/>
      <w:r>
        <w:rPr>
          <w:rFonts w:hint="eastAsia" w:ascii="黑体" w:hAnsi="黑体" w:eastAsia="黑体" w:cs="黑体"/>
          <w:color w:val="auto"/>
          <w:sz w:val="30"/>
          <w:szCs w:val="30"/>
          <w:highlight w:val="none"/>
        </w:rPr>
        <w:t>（二）绿色金融服务体系建设</w:t>
      </w:r>
      <w:bookmarkEnd w:id="26"/>
    </w:p>
    <w:p w14:paraId="286A1066">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面对环境及气候变化相关风险，我行倡导绿色金融理念，逐步建立并不断完善绿色金融相关政策制度，加大绿色金融产品创新，加强环境风险管理，逐步构建绿色金融服务体系。</w:t>
      </w:r>
    </w:p>
    <w:p w14:paraId="20D1AED6">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为助力全行层面实现可持续发展，我行发布了一系列支持环保与绿色运营相关制度，如《营业部环境保护管理制度》、《关于推行无纸化办公的通知》等；并在《株洲农村商业银行股份有限公司2021-2025年改革发展规划》中提出聚焦绿色金融，加大有效投放。</w:t>
      </w:r>
    </w:p>
    <w:p w14:paraId="2FF7BD47">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接下来，我行将会根据客户环境绩效方面的表现，建立差异化的贷款制度。初步计划将信贷客户分类为环境优先型、环境合格型、环境关注型和环境缺失型等四类，对不同分类的客户，在贷款准入、贷款授信、审批流程、利率定价和风险控制等环节实行差别化管理，对环境优先型贷款实行利率优惠、简易审批、考核激励等综合措施；对环境关注型、环境缺失型贷款客户实行名单制管理，制定压降、退出计划。</w:t>
      </w:r>
    </w:p>
    <w:p w14:paraId="4A2DB889">
      <w:pPr>
        <w:pageBreakBefore w:val="0"/>
        <w:kinsoku/>
        <w:wordWrap/>
        <w:overflowPunct/>
        <w:topLinePunct w:val="0"/>
        <w:bidi w:val="0"/>
        <w:adjustRightInd/>
        <w:snapToGrid/>
        <w:spacing w:line="240" w:lineRule="auto"/>
        <w:ind w:left="0" w:leftChars="0" w:firstLine="560" w:firstLineChars="200"/>
        <w:jc w:val="center"/>
        <w:rPr>
          <w:rFonts w:hint="eastAsia" w:ascii="黑体" w:hAnsi="黑体" w:eastAsia="黑体" w:cs="黑体"/>
          <w:color w:val="auto"/>
          <w:sz w:val="28"/>
          <w:szCs w:val="30"/>
          <w:highlight w:val="none"/>
        </w:rPr>
      </w:pPr>
      <w:r>
        <w:rPr>
          <w:rFonts w:hint="eastAsia" w:ascii="黑体" w:hAnsi="黑体" w:eastAsia="黑体" w:cs="黑体"/>
          <w:color w:val="auto"/>
          <w:sz w:val="28"/>
          <w:szCs w:val="30"/>
          <w:highlight w:val="none"/>
        </w:rPr>
        <w:t>表4-1 株洲农村商业银行环境政策制度情况表</w:t>
      </w:r>
    </w:p>
    <w:tbl>
      <w:tblPr>
        <w:tblStyle w:val="17"/>
        <w:tblW w:w="8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4252"/>
        <w:gridCol w:w="3686"/>
      </w:tblGrid>
      <w:tr w14:paraId="0E65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14:paraId="6A181523">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序号</w:t>
            </w:r>
          </w:p>
        </w:tc>
        <w:tc>
          <w:tcPr>
            <w:tcW w:w="4252" w:type="dxa"/>
            <w:vAlign w:val="center"/>
          </w:tcPr>
          <w:p w14:paraId="1BA58A1C">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文件名称</w:t>
            </w:r>
          </w:p>
        </w:tc>
        <w:tc>
          <w:tcPr>
            <w:tcW w:w="3686" w:type="dxa"/>
            <w:vAlign w:val="center"/>
          </w:tcPr>
          <w:p w14:paraId="428AEA0F">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文件主要内容</w:t>
            </w:r>
          </w:p>
        </w:tc>
      </w:tr>
      <w:tr w14:paraId="3F2D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14:paraId="69C9158D">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w:t>
            </w:r>
          </w:p>
        </w:tc>
        <w:tc>
          <w:tcPr>
            <w:tcW w:w="4252" w:type="dxa"/>
            <w:vAlign w:val="center"/>
          </w:tcPr>
          <w:p w14:paraId="49C55FE8">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《株洲农村商业银行股份有限公司2021-2025年改革发展规划》</w:t>
            </w:r>
          </w:p>
        </w:tc>
        <w:tc>
          <w:tcPr>
            <w:tcW w:w="3686" w:type="dxa"/>
            <w:vAlign w:val="center"/>
          </w:tcPr>
          <w:p w14:paraId="4CD36917">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聚焦绿色金融，加大有效投放，打造“绿色金融”品牌。</w:t>
            </w:r>
          </w:p>
        </w:tc>
      </w:tr>
      <w:tr w14:paraId="5D13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14:paraId="540CD8E8">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p>
        </w:tc>
        <w:tc>
          <w:tcPr>
            <w:tcW w:w="4252" w:type="dxa"/>
            <w:vAlign w:val="center"/>
          </w:tcPr>
          <w:p w14:paraId="2221C1E9">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《株洲农村商业银行股份有限公司202</w:t>
            </w: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年度环境信息披露工作方案》</w:t>
            </w:r>
          </w:p>
        </w:tc>
        <w:tc>
          <w:tcPr>
            <w:tcW w:w="3686" w:type="dxa"/>
            <w:vAlign w:val="center"/>
          </w:tcPr>
          <w:p w14:paraId="2C61E3BF">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落实我行责任部门，列出工作清单，明确了时间表，路线图。</w:t>
            </w:r>
          </w:p>
        </w:tc>
      </w:tr>
      <w:tr w14:paraId="2E03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14:paraId="5DF5F473">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w:t>
            </w:r>
          </w:p>
        </w:tc>
        <w:tc>
          <w:tcPr>
            <w:tcW w:w="4252" w:type="dxa"/>
            <w:vAlign w:val="center"/>
          </w:tcPr>
          <w:p w14:paraId="600F0373">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《株洲农商银行营业部环境保护管理制度》</w:t>
            </w:r>
          </w:p>
        </w:tc>
        <w:tc>
          <w:tcPr>
            <w:tcW w:w="3686" w:type="dxa"/>
            <w:vAlign w:val="center"/>
          </w:tcPr>
          <w:p w14:paraId="1E8F8541">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规范本行全体员工节约用纸、节约用电、节约用水等。</w:t>
            </w:r>
          </w:p>
        </w:tc>
      </w:tr>
      <w:tr w14:paraId="6A6F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8" w:type="dxa"/>
            <w:vAlign w:val="center"/>
          </w:tcPr>
          <w:p w14:paraId="19E2B857">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w:t>
            </w:r>
          </w:p>
        </w:tc>
        <w:tc>
          <w:tcPr>
            <w:tcW w:w="4252" w:type="dxa"/>
            <w:vAlign w:val="center"/>
          </w:tcPr>
          <w:p w14:paraId="0E86234A">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《株洲农村商业银行股份有限公司关于推行无纸化办公的通知》</w:t>
            </w:r>
          </w:p>
        </w:tc>
        <w:tc>
          <w:tcPr>
            <w:tcW w:w="3686" w:type="dxa"/>
            <w:vAlign w:val="center"/>
          </w:tcPr>
          <w:p w14:paraId="40297E57">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推进我行信息化建设，充分利用企业微信平台，在全行范围内以节约和高效为出发点推行无纸化办公。</w:t>
            </w:r>
          </w:p>
        </w:tc>
      </w:tr>
      <w:tr w14:paraId="4AB3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14:paraId="1CE781D7">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w:t>
            </w:r>
          </w:p>
        </w:tc>
        <w:tc>
          <w:tcPr>
            <w:tcW w:w="4252" w:type="dxa"/>
            <w:vAlign w:val="center"/>
          </w:tcPr>
          <w:p w14:paraId="145EB2A2">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《营业部倡议书：低碳环保从我开始》</w:t>
            </w:r>
          </w:p>
        </w:tc>
        <w:tc>
          <w:tcPr>
            <w:tcW w:w="3686" w:type="dxa"/>
            <w:vAlign w:val="center"/>
          </w:tcPr>
          <w:p w14:paraId="22EEBA41">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鼓励倡导员工绿色出行</w:t>
            </w:r>
          </w:p>
        </w:tc>
      </w:tr>
      <w:tr w14:paraId="774F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14:paraId="0EF3A221">
            <w:pPr>
              <w:pageBreakBefore w:val="0"/>
              <w:kinsoku/>
              <w:wordWrap/>
              <w:overflowPunct/>
              <w:topLinePunct w:val="0"/>
              <w:bidi w:val="0"/>
              <w:adjustRightInd/>
              <w:snapToGrid/>
              <w:spacing w:line="240" w:lineRule="auto"/>
              <w:ind w:left="0" w:leftChars="0"/>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6</w:t>
            </w:r>
          </w:p>
        </w:tc>
        <w:tc>
          <w:tcPr>
            <w:tcW w:w="4252" w:type="dxa"/>
            <w:vAlign w:val="center"/>
          </w:tcPr>
          <w:p w14:paraId="54D6B617">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《株洲农村商业银行自身运营碳盘查手册》</w:t>
            </w:r>
          </w:p>
        </w:tc>
        <w:tc>
          <w:tcPr>
            <w:tcW w:w="3686" w:type="dxa"/>
            <w:vAlign w:val="center"/>
          </w:tcPr>
          <w:p w14:paraId="0D19DD87">
            <w:pPr>
              <w:pageBreakBefore w:val="0"/>
              <w:kinsoku/>
              <w:wordWrap/>
              <w:overflowPunct/>
              <w:topLinePunct w:val="0"/>
              <w:bidi w:val="0"/>
              <w:adjustRightInd/>
              <w:snapToGrid/>
              <w:spacing w:line="240" w:lineRule="auto"/>
              <w:ind w:left="0" w:leftChars="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指导各支行、网点按照要求科学、规范、高效地开展碳盘查工作</w:t>
            </w:r>
          </w:p>
        </w:tc>
      </w:tr>
    </w:tbl>
    <w:p w14:paraId="263D6849">
      <w:pPr>
        <w:pStyle w:val="2"/>
        <w:pageBreakBefore w:val="0"/>
        <w:kinsoku/>
        <w:wordWrap/>
        <w:overflowPunct/>
        <w:topLinePunct w:val="0"/>
        <w:bidi w:val="0"/>
        <w:adjustRightInd/>
        <w:snapToGrid/>
        <w:spacing w:before="0" w:after="0" w:line="240" w:lineRule="auto"/>
        <w:ind w:left="0" w:leftChars="0" w:firstLine="640" w:firstLineChars="200"/>
        <w:rPr>
          <w:rFonts w:hint="eastAsia" w:ascii="黑体" w:hAnsi="黑体" w:eastAsia="黑体" w:cs="黑体"/>
          <w:b w:val="0"/>
          <w:color w:val="auto"/>
          <w:sz w:val="32"/>
          <w:highlight w:val="none"/>
        </w:rPr>
      </w:pPr>
      <w:bookmarkStart w:id="27" w:name="_Toc28814"/>
      <w:r>
        <w:rPr>
          <w:rFonts w:hint="eastAsia" w:ascii="黑体" w:hAnsi="黑体" w:eastAsia="黑体" w:cs="黑体"/>
          <w:b w:val="0"/>
          <w:color w:val="auto"/>
          <w:sz w:val="32"/>
          <w:highlight w:val="none"/>
        </w:rPr>
        <w:t>五、环境相关产品与服务创新</w:t>
      </w:r>
      <w:bookmarkEnd w:id="27"/>
      <w:r>
        <w:rPr>
          <w:rFonts w:hint="eastAsia" w:ascii="黑体" w:hAnsi="黑体" w:eastAsia="黑体" w:cs="黑体"/>
          <w:b w:val="0"/>
          <w:color w:val="auto"/>
          <w:sz w:val="32"/>
          <w:highlight w:val="none"/>
        </w:rPr>
        <w:tab/>
      </w:r>
    </w:p>
    <w:p w14:paraId="681D0531">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28" w:name="_Toc4572"/>
      <w:r>
        <w:rPr>
          <w:rFonts w:hint="eastAsia" w:ascii="黑体" w:hAnsi="黑体" w:eastAsia="黑体" w:cs="黑体"/>
          <w:color w:val="auto"/>
          <w:sz w:val="30"/>
          <w:szCs w:val="30"/>
          <w:highlight w:val="none"/>
        </w:rPr>
        <w:t>（一）创新特色信贷产品体系</w:t>
      </w:r>
      <w:bookmarkEnd w:id="28"/>
    </w:p>
    <w:p w14:paraId="376E97CA">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b/>
          <w:color w:val="auto"/>
          <w:sz w:val="30"/>
          <w:szCs w:val="30"/>
          <w:highlight w:val="none"/>
        </w:rPr>
      </w:pPr>
      <w:r>
        <w:rPr>
          <w:rFonts w:hint="eastAsia" w:ascii="黑体" w:hAnsi="黑体" w:eastAsia="黑体" w:cs="黑体"/>
          <w:b/>
          <w:color w:val="auto"/>
          <w:sz w:val="30"/>
          <w:szCs w:val="30"/>
          <w:highlight w:val="none"/>
        </w:rPr>
        <w:t>1.对全市绿色低碳产业等企业开发专属产品</w:t>
      </w:r>
    </w:p>
    <w:p w14:paraId="0BBD9DA2">
      <w:pPr>
        <w:pageBreakBefore w:val="0"/>
        <w:widowControl w:val="0"/>
        <w:numPr>
          <w:ilvl w:val="0"/>
          <w:numId w:val="0"/>
        </w:numPr>
        <w:kinsoku/>
        <w:wordWrap/>
        <w:overflowPunct/>
        <w:topLinePunct w:val="0"/>
        <w:bidi w:val="0"/>
        <w:adjustRightInd/>
        <w:snapToGrid/>
        <w:spacing w:line="240" w:lineRule="auto"/>
        <w:ind w:left="0" w:leftChars="0" w:right="0" w:firstLine="600" w:firstLineChars="200"/>
        <w:jc w:val="both"/>
        <w:textAlignment w:val="auto"/>
        <w:outlineLvl w:val="9"/>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根据绿色低碳企业的特征，我行逐步完善产品体系，扩大应收账款、订单、动产等抵质押贷款业务，定向开发“专利贷”“应收账款贷”“订单贷”“</w:t>
      </w:r>
      <w:r>
        <w:rPr>
          <w:rFonts w:hint="eastAsia" w:ascii="黑体" w:hAnsi="黑体" w:eastAsia="黑体" w:cs="黑体"/>
          <w:color w:val="auto"/>
          <w:sz w:val="30"/>
          <w:szCs w:val="30"/>
          <w:highlight w:val="none"/>
          <w:lang w:val="en-US" w:eastAsia="zh-CN"/>
        </w:rPr>
        <w:t>大棚贷</w:t>
      </w:r>
      <w:r>
        <w:rPr>
          <w:rFonts w:hint="eastAsia" w:ascii="黑体" w:hAnsi="黑体" w:eastAsia="黑体" w:cs="黑体"/>
          <w:color w:val="auto"/>
          <w:sz w:val="30"/>
          <w:szCs w:val="30"/>
          <w:highlight w:val="none"/>
        </w:rPr>
        <w:t>”“</w:t>
      </w:r>
      <w:r>
        <w:rPr>
          <w:rFonts w:hint="eastAsia" w:ascii="黑体" w:hAnsi="黑体" w:eastAsia="黑体" w:cs="黑体"/>
          <w:color w:val="auto"/>
          <w:sz w:val="30"/>
          <w:szCs w:val="30"/>
          <w:highlight w:val="none"/>
          <w:lang w:val="en-US" w:eastAsia="zh-CN"/>
        </w:rPr>
        <w:t>花木贷</w:t>
      </w:r>
      <w:r>
        <w:rPr>
          <w:rFonts w:hint="eastAsia" w:ascii="黑体" w:hAnsi="黑体" w:eastAsia="黑体" w:cs="黑体"/>
          <w:color w:val="auto"/>
          <w:sz w:val="30"/>
          <w:szCs w:val="30"/>
          <w:highlight w:val="none"/>
        </w:rPr>
        <w:t>”“</w:t>
      </w:r>
      <w:r>
        <w:rPr>
          <w:rFonts w:hint="eastAsia" w:ascii="黑体" w:hAnsi="黑体" w:eastAsia="黑体" w:cs="黑体"/>
          <w:color w:val="auto"/>
          <w:sz w:val="30"/>
          <w:szCs w:val="30"/>
          <w:highlight w:val="none"/>
          <w:lang w:val="en-US" w:eastAsia="zh-CN"/>
        </w:rPr>
        <w:t>民宿贷</w:t>
      </w:r>
      <w:r>
        <w:rPr>
          <w:rFonts w:hint="eastAsia" w:ascii="黑体" w:hAnsi="黑体" w:eastAsia="黑体" w:cs="黑体"/>
          <w:color w:val="auto"/>
          <w:sz w:val="30"/>
          <w:szCs w:val="30"/>
          <w:highlight w:val="none"/>
        </w:rPr>
        <w:t>”“</w:t>
      </w:r>
      <w:r>
        <w:rPr>
          <w:rFonts w:hint="eastAsia" w:ascii="黑体" w:hAnsi="黑体" w:eastAsia="黑体" w:cs="黑体"/>
          <w:color w:val="auto"/>
          <w:sz w:val="30"/>
          <w:szCs w:val="30"/>
          <w:highlight w:val="none"/>
          <w:lang w:val="en-US" w:eastAsia="zh-CN"/>
        </w:rPr>
        <w:t>休闲餐饮贷</w:t>
      </w:r>
      <w:r>
        <w:rPr>
          <w:rFonts w:hint="eastAsia" w:ascii="黑体" w:hAnsi="黑体" w:eastAsia="黑体" w:cs="黑体"/>
          <w:color w:val="auto"/>
          <w:sz w:val="30"/>
          <w:szCs w:val="30"/>
          <w:highlight w:val="none"/>
        </w:rPr>
        <w:t>”等新产品，突出覆盖面广、针对性强、适用性高，切实解决企业融资难问题。</w:t>
      </w:r>
    </w:p>
    <w:p w14:paraId="581B9354">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b/>
          <w:color w:val="auto"/>
          <w:sz w:val="30"/>
          <w:szCs w:val="30"/>
          <w:highlight w:val="none"/>
        </w:rPr>
      </w:pPr>
      <w:r>
        <w:rPr>
          <w:rFonts w:hint="eastAsia" w:ascii="黑体" w:hAnsi="黑体" w:eastAsia="黑体" w:cs="黑体"/>
          <w:b/>
          <w:color w:val="auto"/>
          <w:sz w:val="30"/>
          <w:szCs w:val="30"/>
          <w:highlight w:val="none"/>
        </w:rPr>
        <w:t>2.全面推动科技型企业知识价值信用贷款风险补偿试点</w:t>
      </w:r>
    </w:p>
    <w:p w14:paraId="6628E1DF">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根据《国务院办公厅关于推广第三批支持创新相关改革举措的通知》（国办发〔2020〕3号）、《湖南省人民政府关于推进全省产业园区高质量发展的实施意见》（湘政发〔2020〕13号）等文件精神，引导金融服务创新创业，着力缓解科技型企业融资难问题，助力科技成果转化、产业化，打造具有核心竞争力的科技创新高。</w:t>
      </w:r>
    </w:p>
    <w:p w14:paraId="69A2ACC1">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b/>
          <w:color w:val="auto"/>
          <w:sz w:val="30"/>
          <w:szCs w:val="30"/>
          <w:highlight w:val="none"/>
        </w:rPr>
      </w:pPr>
      <w:r>
        <w:rPr>
          <w:rFonts w:hint="eastAsia" w:ascii="黑体" w:hAnsi="黑体" w:eastAsia="黑体" w:cs="黑体"/>
          <w:b/>
          <w:color w:val="auto"/>
          <w:sz w:val="30"/>
          <w:szCs w:val="30"/>
          <w:highlight w:val="none"/>
        </w:rPr>
        <w:t>3.完善贷款续贷机制</w:t>
      </w:r>
    </w:p>
    <w:p w14:paraId="4A367EC8">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我行对市场发展前景好、流动性暂时遇到困难的企业不盲目抽贷、断贷、压贷，充分运用无还本续贷，缓解借款人还款压力，进一步提升客户的黏性。</w:t>
      </w:r>
    </w:p>
    <w:p w14:paraId="436DD427">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29" w:name="_Toc23475"/>
      <w:r>
        <w:rPr>
          <w:rFonts w:hint="eastAsia" w:ascii="黑体" w:hAnsi="黑体" w:eastAsia="黑体" w:cs="黑体"/>
          <w:color w:val="auto"/>
          <w:sz w:val="30"/>
          <w:szCs w:val="30"/>
          <w:highlight w:val="none"/>
        </w:rPr>
        <w:t>（二）创新信贷服务工作机制</w:t>
      </w:r>
      <w:bookmarkEnd w:id="29"/>
    </w:p>
    <w:p w14:paraId="671F33BD">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b/>
          <w:color w:val="auto"/>
          <w:sz w:val="30"/>
          <w:szCs w:val="30"/>
          <w:highlight w:val="none"/>
        </w:rPr>
      </w:pPr>
      <w:r>
        <w:rPr>
          <w:rFonts w:hint="eastAsia" w:ascii="黑体" w:hAnsi="黑体" w:eastAsia="黑体" w:cs="黑体"/>
          <w:b/>
          <w:color w:val="auto"/>
          <w:sz w:val="30"/>
          <w:szCs w:val="30"/>
          <w:highlight w:val="none"/>
        </w:rPr>
        <w:t>1.开辟专项绿色审批通道</w:t>
      </w:r>
    </w:p>
    <w:p w14:paraId="48D94F20">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特事特办，急事争办，我行快速响应企业融资需求，对企业开辟绿色审批通道，全力简化项目发起材料，实行限时办贷制度，支行审批权限内的其他贷款，不超过3个工作日，超过支行审批权限的其他贷款，不超过7个工作日。</w:t>
      </w:r>
    </w:p>
    <w:p w14:paraId="680DDD74">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b/>
          <w:color w:val="auto"/>
          <w:sz w:val="30"/>
          <w:szCs w:val="30"/>
          <w:highlight w:val="none"/>
        </w:rPr>
      </w:pPr>
      <w:r>
        <w:rPr>
          <w:rFonts w:hint="eastAsia" w:ascii="黑体" w:hAnsi="黑体" w:eastAsia="黑体" w:cs="黑体"/>
          <w:b/>
          <w:color w:val="auto"/>
          <w:sz w:val="30"/>
          <w:szCs w:val="30"/>
          <w:highlight w:val="none"/>
        </w:rPr>
        <w:t>2.实行专项利率优惠</w:t>
      </w:r>
    </w:p>
    <w:p w14:paraId="1F1F23B7">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以小微企业福祥便民卡（或其他贷款方式）方式发放的200万元（含）以下的企业贷款，在测算的定价基础利率上减230个BP；对发放的单户贷款金额在200万元至500万元的“三高四新”白名单企业贷款，在测算的定价基础利率上减100个BP。</w:t>
      </w:r>
    </w:p>
    <w:p w14:paraId="388F60CF">
      <w:pPr>
        <w:pStyle w:val="2"/>
        <w:pageBreakBefore w:val="0"/>
        <w:kinsoku/>
        <w:wordWrap/>
        <w:overflowPunct/>
        <w:topLinePunct w:val="0"/>
        <w:bidi w:val="0"/>
        <w:adjustRightInd/>
        <w:snapToGrid/>
        <w:spacing w:before="0" w:after="0" w:line="240" w:lineRule="auto"/>
        <w:ind w:left="0" w:leftChars="0" w:firstLine="640" w:firstLineChars="200"/>
        <w:rPr>
          <w:rFonts w:hint="eastAsia" w:ascii="黑体" w:hAnsi="黑体" w:eastAsia="黑体" w:cs="黑体"/>
          <w:b w:val="0"/>
          <w:color w:val="auto"/>
          <w:sz w:val="32"/>
          <w:highlight w:val="none"/>
        </w:rPr>
      </w:pPr>
      <w:bookmarkStart w:id="30" w:name="_Toc11228"/>
      <w:r>
        <w:rPr>
          <w:rFonts w:hint="eastAsia" w:ascii="黑体" w:hAnsi="黑体" w:eastAsia="黑体" w:cs="黑体"/>
          <w:b w:val="0"/>
          <w:color w:val="auto"/>
          <w:sz w:val="32"/>
          <w:highlight w:val="none"/>
        </w:rPr>
        <w:t>六、环境风险与机遇</w:t>
      </w:r>
      <w:bookmarkEnd w:id="30"/>
    </w:p>
    <w:p w14:paraId="04D83F09">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31" w:name="_Toc19849"/>
      <w:r>
        <w:rPr>
          <w:rFonts w:hint="eastAsia" w:ascii="黑体" w:hAnsi="黑体" w:eastAsia="黑体" w:cs="黑体"/>
          <w:color w:val="auto"/>
          <w:sz w:val="30"/>
          <w:szCs w:val="30"/>
          <w:highlight w:val="none"/>
        </w:rPr>
        <w:t>（一）环境风险影响</w:t>
      </w:r>
      <w:bookmarkEnd w:id="31"/>
    </w:p>
    <w:p w14:paraId="1E97E5EC">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color w:val="auto"/>
          <w:sz w:val="30"/>
          <w:szCs w:val="30"/>
          <w:highlight w:val="none"/>
          <w:lang w:val="en-US" w:eastAsia="zh-CN"/>
        </w:rPr>
      </w:pPr>
      <w:r>
        <w:rPr>
          <w:rFonts w:hint="eastAsia" w:ascii="黑体" w:hAnsi="黑体" w:eastAsia="黑体" w:cs="黑体"/>
          <w:b/>
          <w:bCs/>
          <w:color w:val="auto"/>
          <w:sz w:val="30"/>
          <w:szCs w:val="30"/>
          <w:highlight w:val="none"/>
          <w:lang w:val="en-US" w:eastAsia="zh-CN"/>
        </w:rPr>
        <w:t xml:space="preserve">1.政策风险 </w:t>
      </w:r>
      <w:r>
        <w:rPr>
          <w:rFonts w:hint="eastAsia" w:ascii="黑体" w:hAnsi="黑体" w:eastAsia="黑体" w:cs="黑体"/>
          <w:color w:val="auto"/>
          <w:sz w:val="30"/>
          <w:szCs w:val="30"/>
          <w:highlight w:val="none"/>
          <w:lang w:val="en-US" w:eastAsia="zh-CN"/>
        </w:rPr>
        <w:t>近年来，我国发布了一系列绿色金融相关政策，如《关于推进社会信用体系建设高质量发展促进形成新发展格局的意见》，意见中提到了完善生态环保信用制度，全面实施环保、水土保持等领域的信用评价，并强化信用评价结果的共享运用。此外，还聚焦实现碳达峰碳中和目标，完善了全国碳排放权交易市场制度体系。《关于推进以县城为重要载体的城镇化建设的意见》，意见中强调了加强历史文化和生态保护，提升县城人居环境质量，并打造蓝绿生态空间。此外，还提出完善生态绿地系统，依托山水林田湖草等自然基底建设生态绿色廊道。环境税收、绿色金融政策等逐步实施，可能对农商银行的盈利模式和业务结构产生较大影响，需要本行调整信贷政策和风险管理策略。</w:t>
      </w:r>
    </w:p>
    <w:p w14:paraId="07522E03">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color w:val="auto"/>
          <w:sz w:val="30"/>
          <w:szCs w:val="30"/>
          <w:highlight w:val="none"/>
          <w:lang w:val="en-US" w:eastAsia="zh-CN"/>
        </w:rPr>
      </w:pPr>
      <w:r>
        <w:rPr>
          <w:rFonts w:hint="eastAsia" w:ascii="黑体" w:hAnsi="黑体" w:eastAsia="黑体" w:cs="黑体"/>
          <w:b/>
          <w:bCs/>
          <w:color w:val="auto"/>
          <w:sz w:val="30"/>
          <w:szCs w:val="30"/>
          <w:highlight w:val="none"/>
          <w:lang w:val="en-US" w:eastAsia="zh-CN"/>
        </w:rPr>
        <w:t xml:space="preserve">2.法律风险 </w:t>
      </w:r>
      <w:r>
        <w:rPr>
          <w:rFonts w:hint="eastAsia" w:ascii="黑体" w:hAnsi="黑体" w:eastAsia="黑体" w:cs="黑体"/>
          <w:color w:val="auto"/>
          <w:sz w:val="30"/>
          <w:szCs w:val="30"/>
          <w:highlight w:val="none"/>
          <w:lang w:val="en-US" w:eastAsia="zh-CN"/>
        </w:rPr>
        <w:t>因环境法规的不断完善，银行在环境违法行为上的法律责任可能加大，如违反绿色信贷政策、环境风险评估不足等。环境诉讼和处罚可能增加，对银行的声誉和财务状况造成负面影响。</w:t>
      </w:r>
    </w:p>
    <w:p w14:paraId="5D5CFCCB">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color w:val="auto"/>
          <w:sz w:val="30"/>
          <w:szCs w:val="30"/>
          <w:highlight w:val="none"/>
          <w:lang w:val="en-US" w:eastAsia="zh-CN"/>
        </w:rPr>
      </w:pPr>
      <w:r>
        <w:rPr>
          <w:rFonts w:hint="eastAsia" w:ascii="黑体" w:hAnsi="黑体" w:eastAsia="黑体" w:cs="黑体"/>
          <w:b/>
          <w:bCs/>
          <w:color w:val="auto"/>
          <w:sz w:val="30"/>
          <w:szCs w:val="30"/>
          <w:highlight w:val="none"/>
          <w:lang w:val="en-US" w:eastAsia="zh-CN"/>
        </w:rPr>
        <w:t xml:space="preserve">3.市场风险 </w:t>
      </w:r>
      <w:r>
        <w:rPr>
          <w:rFonts w:hint="eastAsia" w:ascii="黑体" w:hAnsi="黑体" w:eastAsia="黑体" w:cs="黑体"/>
          <w:color w:val="auto"/>
          <w:sz w:val="30"/>
          <w:szCs w:val="30"/>
          <w:highlight w:val="none"/>
          <w:lang w:val="en-US" w:eastAsia="zh-CN"/>
        </w:rPr>
        <w:t>绿色金融结构性货币政策工具，2023年2月，中国人民银行延续实施碳减排支持工具等三项结构性货币政策工具。这些工具包括：碳减排支持工具延续实施至2024年末，支持煤炭清洁高效利用专项再贷款延续实施至2023年末，以及交通物流专项再贷款延续实施至2023年6月末。这些措施旨在进一步扩大政策惠及面，深化绿色金融国际合作，并增强金融支持交通物流保通保畅的力度。未来对企业的环境信息披露与ESG表现要求不断上升，我行应避免企业因环境保护工作滞后或募集资金投向不合理对环境造成严重污染和破坏带来的市场风险。越来越多的投资者开始关注企业的环保表现，社会责任投资逐渐成为主流。本行通过支持绿色项目和企业，能够吸引更多的社会责任投资者，提升社会形象和市场份额。</w:t>
      </w:r>
    </w:p>
    <w:p w14:paraId="39CCD320">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color w:val="auto"/>
          <w:sz w:val="30"/>
          <w:szCs w:val="30"/>
          <w:highlight w:val="none"/>
        </w:rPr>
      </w:pPr>
      <w:r>
        <w:rPr>
          <w:rFonts w:hint="eastAsia" w:ascii="黑体" w:hAnsi="黑体" w:eastAsia="黑体" w:cs="黑体"/>
          <w:b/>
          <w:bCs/>
          <w:color w:val="auto"/>
          <w:sz w:val="30"/>
          <w:szCs w:val="30"/>
          <w:highlight w:val="none"/>
          <w:lang w:val="en-US" w:eastAsia="zh-CN"/>
        </w:rPr>
        <w:t xml:space="preserve">4.声誉风险 </w:t>
      </w:r>
      <w:r>
        <w:rPr>
          <w:rFonts w:hint="eastAsia" w:ascii="黑体" w:hAnsi="黑体" w:eastAsia="黑体" w:cs="黑体"/>
          <w:color w:val="auto"/>
          <w:sz w:val="30"/>
          <w:szCs w:val="30"/>
          <w:highlight w:val="none"/>
          <w:lang w:val="en-US" w:eastAsia="zh-CN"/>
        </w:rPr>
        <w:t>绿色、环保、生态等话题正逐步被更多公众认知，若我行在自身运营和开展业务的过程中未能充分考虑到气候和环境可持续性，可能会面临在全行业的声誉风险，导致难以吸引更多优质的利益相关方。</w:t>
      </w:r>
    </w:p>
    <w:p w14:paraId="7EDA2030">
      <w:pPr>
        <w:pStyle w:val="3"/>
        <w:keepNext/>
        <w:keepLines/>
        <w:pageBreakBefore w:val="0"/>
        <w:widowControl w:val="0"/>
        <w:kinsoku/>
        <w:wordWrap/>
        <w:overflowPunct/>
        <w:topLinePunct w:val="0"/>
        <w:autoSpaceDE/>
        <w:autoSpaceDN/>
        <w:bidi w:val="0"/>
        <w:adjustRightInd/>
        <w:snapToGrid/>
        <w:spacing w:before="0" w:after="0" w:line="240" w:lineRule="auto"/>
        <w:ind w:left="0" w:leftChars="0" w:firstLine="602" w:firstLineChars="200"/>
        <w:textAlignment w:val="auto"/>
        <w:rPr>
          <w:rFonts w:hint="eastAsia" w:ascii="黑体" w:hAnsi="黑体" w:eastAsia="黑体" w:cs="黑体"/>
          <w:color w:val="auto"/>
          <w:sz w:val="30"/>
          <w:szCs w:val="30"/>
          <w:highlight w:val="none"/>
        </w:rPr>
      </w:pPr>
      <w:bookmarkStart w:id="32" w:name="_Toc8312"/>
      <w:r>
        <w:rPr>
          <w:rFonts w:hint="eastAsia" w:ascii="黑体" w:hAnsi="黑体" w:eastAsia="黑体" w:cs="黑体"/>
          <w:color w:val="auto"/>
          <w:sz w:val="30"/>
          <w:szCs w:val="30"/>
          <w:highlight w:val="none"/>
        </w:rPr>
        <w:t>（二）环境机遇分析</w:t>
      </w:r>
      <w:bookmarkEnd w:id="32"/>
    </w:p>
    <w:p w14:paraId="0071BF7F">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环境、气候与生态相关风险将会对经济的发展前景和发展模式造成巨大影响，也对我行乃至整个银行业带来巨大挑战，因此作为服务和促进经济发展的银行业，应加快完善银行管理制度与环境信息披露制度，避免因环境、气候等带来的潜在风险。</w:t>
      </w:r>
    </w:p>
    <w:p w14:paraId="61B5584D">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我行应主动将绿色金融纳入银行整体发展战略中，一是逐步完善环境、气候与生态风险管理体系，加强对客户环境的评估，对能耗及排放不达标等项目严格限制发放贷款，支持企业绿色转型升级，将绿色发展纳入授信业务中。二是建立绿色客户名单，围绕绿色、低碳与高质量发展等要求选择客户，并适时调整客户结构。三是加大绿色信贷领域的投放，优化资产配置。四是创新绿色金融产品，加大产品与服务竞争力。</w:t>
      </w:r>
    </w:p>
    <w:p w14:paraId="5E3631F9">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33" w:name="_Toc29818"/>
      <w:r>
        <w:rPr>
          <w:rFonts w:hint="eastAsia" w:ascii="黑体" w:hAnsi="黑体" w:eastAsia="黑体" w:cs="黑体"/>
          <w:color w:val="auto"/>
          <w:sz w:val="30"/>
          <w:szCs w:val="30"/>
          <w:highlight w:val="none"/>
        </w:rPr>
        <w:t>（三）环境风险管理及流程</w:t>
      </w:r>
      <w:bookmarkEnd w:id="33"/>
    </w:p>
    <w:p w14:paraId="7CD27C46">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color w:val="auto"/>
          <w:sz w:val="30"/>
          <w:szCs w:val="30"/>
          <w:highlight w:val="none"/>
          <w:lang w:val="en-US" w:eastAsia="zh-CN"/>
        </w:rPr>
      </w:pPr>
      <w:r>
        <w:rPr>
          <w:rFonts w:hint="eastAsia" w:ascii="黑体" w:hAnsi="黑体" w:eastAsia="黑体" w:cs="黑体"/>
          <w:b/>
          <w:bCs/>
          <w:color w:val="auto"/>
          <w:sz w:val="30"/>
          <w:szCs w:val="30"/>
          <w:highlight w:val="none"/>
          <w:lang w:val="en-US" w:eastAsia="zh-CN"/>
        </w:rPr>
        <w:t xml:space="preserve">1.完善相关制度规范 </w:t>
      </w:r>
      <w:r>
        <w:rPr>
          <w:rFonts w:hint="eastAsia" w:ascii="黑体" w:hAnsi="黑体" w:eastAsia="黑体" w:cs="黑体"/>
          <w:color w:val="auto"/>
          <w:sz w:val="30"/>
          <w:szCs w:val="30"/>
          <w:highlight w:val="none"/>
          <w:lang w:val="en-US" w:eastAsia="zh-CN"/>
        </w:rPr>
        <w:t>完善绿色金融发展战略和工作规划，将绿色信贷融入2021-2025改革发展规划紧密结合起来，逐步建立绿色信贷专业化体系，涉及“高污染、高排放”行业，要严格执行我行信贷政策及相关规定。 严控对“两高一剩”企业信贷投入，严格执行“环保一票否决制”，对于“两高一剩”行业坚决实行退出机制，对不符合产业政策和环保标准的企业或项目坚决不予信贷支持。</w:t>
      </w:r>
    </w:p>
    <w:p w14:paraId="31057EE8">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color w:val="auto"/>
          <w:sz w:val="30"/>
          <w:szCs w:val="30"/>
          <w:highlight w:val="none"/>
          <w:lang w:val="en-US" w:eastAsia="zh-CN"/>
        </w:rPr>
      </w:pPr>
      <w:r>
        <w:rPr>
          <w:rFonts w:hint="eastAsia" w:ascii="黑体" w:hAnsi="黑体" w:eastAsia="黑体" w:cs="黑体"/>
          <w:b/>
          <w:bCs/>
          <w:color w:val="auto"/>
          <w:sz w:val="30"/>
          <w:szCs w:val="30"/>
          <w:highlight w:val="none"/>
          <w:lang w:val="en-US" w:eastAsia="zh-CN"/>
        </w:rPr>
        <w:t xml:space="preserve">2.加强绿色金融科技支撑 </w:t>
      </w:r>
      <w:r>
        <w:rPr>
          <w:rFonts w:hint="eastAsia" w:ascii="黑体" w:hAnsi="黑体" w:eastAsia="黑体" w:cs="黑体"/>
          <w:color w:val="auto"/>
          <w:sz w:val="30"/>
          <w:szCs w:val="30"/>
          <w:highlight w:val="none"/>
          <w:lang w:val="en-US" w:eastAsia="zh-CN"/>
        </w:rPr>
        <w:t>升级改造我行自行开发的“企贷通”系统，将企业能耗等融资环境效益测算所需数据嵌入贷前信贷流程，为后期环境信息披露奠定数据基础。并根据我行发放的绿色信贷台账，将各企业贷款数据下发至相关支行进行对接走访，深入了解环境披露相关测评数据。</w:t>
      </w:r>
    </w:p>
    <w:p w14:paraId="7208582F">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color w:val="auto"/>
          <w:sz w:val="30"/>
          <w:szCs w:val="30"/>
          <w:highlight w:val="none"/>
          <w:lang w:val="en-US" w:eastAsia="zh-CN"/>
        </w:rPr>
      </w:pPr>
      <w:r>
        <w:rPr>
          <w:rFonts w:hint="eastAsia" w:ascii="黑体" w:hAnsi="黑体" w:eastAsia="黑体" w:cs="黑体"/>
          <w:b/>
          <w:bCs/>
          <w:color w:val="auto"/>
          <w:sz w:val="30"/>
          <w:szCs w:val="30"/>
          <w:highlight w:val="none"/>
          <w:lang w:val="en-US" w:eastAsia="zh-CN"/>
        </w:rPr>
        <w:t xml:space="preserve">3.加强环境风险防控 </w:t>
      </w:r>
      <w:r>
        <w:rPr>
          <w:rFonts w:hint="eastAsia" w:ascii="黑体" w:hAnsi="黑体" w:eastAsia="黑体" w:cs="黑体"/>
          <w:color w:val="auto"/>
          <w:sz w:val="30"/>
          <w:szCs w:val="30"/>
          <w:highlight w:val="none"/>
          <w:lang w:val="en-US" w:eastAsia="zh-CN"/>
        </w:rPr>
        <w:t>规范征信管理，加强征信合规与信息安全管理。强化基础数据整治，提升普惠型贷款统计精准度，为产品创新、经营管理提供数据支持。我行全面对接绿色低碳白名单企业，持续加大对环境保护和节能减排等绿色经济相关产业的信贷支持力度。让金融活水更加精准高效地直达把民营小微、先进制造、科技创新、绿色发展、乡村振兴等领域的市场主体，有力有效纾解本地企业融资难点痛点，推动实现金融与实体经济良性互动、共生共荣。</w:t>
      </w:r>
    </w:p>
    <w:p w14:paraId="6A329A95">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color w:val="auto"/>
          <w:sz w:val="30"/>
          <w:szCs w:val="30"/>
          <w:highlight w:val="none"/>
          <w:lang w:val="en-US" w:eastAsia="zh-CN"/>
        </w:rPr>
      </w:pPr>
      <w:r>
        <w:rPr>
          <w:rFonts w:hint="eastAsia" w:ascii="黑体" w:hAnsi="黑体" w:eastAsia="黑体" w:cs="黑体"/>
          <w:b/>
          <w:bCs/>
          <w:color w:val="auto"/>
          <w:sz w:val="30"/>
          <w:szCs w:val="30"/>
          <w:highlight w:val="none"/>
          <w:lang w:val="en-US" w:eastAsia="zh-CN"/>
        </w:rPr>
        <w:t xml:space="preserve">4.加强内部审计力度 </w:t>
      </w:r>
      <w:r>
        <w:rPr>
          <w:rFonts w:hint="eastAsia" w:ascii="黑体" w:hAnsi="黑体" w:eastAsia="黑体" w:cs="黑体"/>
          <w:color w:val="auto"/>
          <w:sz w:val="30"/>
          <w:szCs w:val="30"/>
          <w:highlight w:val="none"/>
          <w:lang w:val="en-US" w:eastAsia="zh-CN"/>
        </w:rPr>
        <w:t>加大审计监督力度，突出政策落实跟踪审计、风险管理审计及“三重一大”事项等重点领域审计，加大审计监督力度，促进内控管理持续完善，风险风控持续强化。</w:t>
      </w:r>
      <w:r>
        <w:rPr>
          <w:rFonts w:hint="eastAsia" w:ascii="黑体" w:hAnsi="黑体" w:eastAsia="黑体" w:cs="黑体"/>
          <w:color w:val="auto"/>
          <w:sz w:val="30"/>
          <w:szCs w:val="30"/>
          <w:highlight w:val="none"/>
          <w:lang w:val="en-US" w:eastAsia="zh-CN"/>
        </w:rPr>
        <w:t>202</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lang w:val="en-US" w:eastAsia="zh-CN"/>
        </w:rPr>
        <w:t>年，</w:t>
      </w:r>
      <w:r>
        <w:rPr>
          <w:rFonts w:hint="eastAsia" w:ascii="黑体" w:hAnsi="黑体" w:eastAsia="黑体" w:cs="黑体"/>
          <w:color w:val="auto"/>
          <w:sz w:val="30"/>
          <w:szCs w:val="30"/>
          <w:highlight w:val="none"/>
          <w:lang w:val="en-US" w:eastAsia="zh-CN"/>
        </w:rPr>
        <w:t>我行持续加大内部审计力度，组织专项审计，关注绿色信贷等方面情况。</w:t>
      </w:r>
    </w:p>
    <w:p w14:paraId="1F41AC4A">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color w:val="auto"/>
          <w:sz w:val="30"/>
          <w:szCs w:val="30"/>
          <w:highlight w:val="none"/>
        </w:rPr>
      </w:pPr>
      <w:r>
        <w:rPr>
          <w:rFonts w:hint="eastAsia" w:ascii="黑体" w:hAnsi="黑体" w:eastAsia="黑体" w:cs="黑体"/>
          <w:b/>
          <w:bCs/>
          <w:color w:val="auto"/>
          <w:sz w:val="30"/>
          <w:szCs w:val="30"/>
          <w:highlight w:val="none"/>
          <w:lang w:val="en-US" w:eastAsia="zh-CN"/>
        </w:rPr>
        <w:t xml:space="preserve">5.提升员工环保意识 </w:t>
      </w:r>
      <w:r>
        <w:rPr>
          <w:rFonts w:hint="eastAsia" w:ascii="黑体" w:hAnsi="黑体" w:eastAsia="黑体" w:cs="黑体"/>
          <w:color w:val="auto"/>
          <w:sz w:val="30"/>
          <w:szCs w:val="30"/>
          <w:highlight w:val="none"/>
          <w:lang w:val="en-US" w:eastAsia="zh-CN"/>
        </w:rPr>
        <w:t>通过培训、宣传等方式，提高员工对环境问题的认识和重视程度，推动全员参与环保工作。</w:t>
      </w:r>
    </w:p>
    <w:p w14:paraId="00306BC7">
      <w:pPr>
        <w:pStyle w:val="2"/>
        <w:pageBreakBefore w:val="0"/>
        <w:kinsoku/>
        <w:wordWrap/>
        <w:overflowPunct/>
        <w:topLinePunct w:val="0"/>
        <w:bidi w:val="0"/>
        <w:adjustRightInd/>
        <w:snapToGrid/>
        <w:spacing w:before="0" w:after="0" w:line="240" w:lineRule="auto"/>
        <w:ind w:left="0" w:leftChars="0" w:firstLine="640" w:firstLineChars="200"/>
        <w:rPr>
          <w:rFonts w:hint="eastAsia" w:ascii="黑体" w:hAnsi="黑体" w:eastAsia="黑体" w:cs="黑体"/>
          <w:b w:val="0"/>
          <w:color w:val="auto"/>
          <w:sz w:val="32"/>
          <w:highlight w:val="none"/>
        </w:rPr>
      </w:pPr>
      <w:bookmarkStart w:id="34" w:name="_Toc29684"/>
      <w:r>
        <w:rPr>
          <w:rFonts w:hint="eastAsia" w:ascii="黑体" w:hAnsi="黑体" w:eastAsia="黑体" w:cs="黑体"/>
          <w:b w:val="0"/>
          <w:color w:val="auto"/>
          <w:sz w:val="32"/>
          <w:highlight w:val="none"/>
        </w:rPr>
        <w:t>七、经营活动的环境影响</w:t>
      </w:r>
      <w:bookmarkEnd w:id="34"/>
    </w:p>
    <w:p w14:paraId="0845D113">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按照中国人民银行编制的《金融机构碳核算技术指南（试行）》，参照GB/T 32150《工业企业温室气体排放核算和报告通则》的流程和要求，我行按照：1）确定碳排放核算边界；2）识别主要的二氧化碳源；3）确定核算方法；4）选择与收集碳排放活动数据；5）选择或测算排放因子；6）计算与汇总自身的碳排放量的流程开展自身运营过程的核算流程开展经营活动的碳排放测算。</w:t>
      </w:r>
    </w:p>
    <w:p w14:paraId="39D6DA68">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按照《金融机构碳核算技术指南（试行）》指导思想，在数据可获得且碳排放量显著的情况下，金融机构可将其运行和活动带来的显著的间接碳排放（如交通、使用的产品、与使用的产品相联系的碳排放、大型活动等）纳入核算。</w:t>
      </w:r>
    </w:p>
    <w:p w14:paraId="5083D6CA">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35" w:name="_Toc7477"/>
      <w:r>
        <w:rPr>
          <w:rFonts w:hint="eastAsia" w:ascii="黑体" w:hAnsi="黑体" w:eastAsia="黑体" w:cs="黑体"/>
          <w:color w:val="auto"/>
          <w:sz w:val="30"/>
          <w:szCs w:val="30"/>
          <w:highlight w:val="none"/>
        </w:rPr>
        <w:t>（一）核算范围与排放源识别</w:t>
      </w:r>
      <w:bookmarkEnd w:id="35"/>
      <w:r>
        <w:rPr>
          <w:rFonts w:hint="eastAsia" w:ascii="黑体" w:hAnsi="黑体" w:eastAsia="黑体" w:cs="黑体"/>
          <w:color w:val="auto"/>
          <w:sz w:val="30"/>
          <w:szCs w:val="30"/>
          <w:highlight w:val="none"/>
        </w:rPr>
        <w:tab/>
      </w:r>
    </w:p>
    <w:p w14:paraId="08F9479B">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本行核算口径以总部机关及各支行网点、离行设备等固定/移动设备设施和与自身运营有关的供应链作为核算边界。</w:t>
      </w:r>
    </w:p>
    <w:p w14:paraId="6AA3FB21">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核算时间为202</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rPr>
        <w:t>年1月1日至202</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rPr>
        <w:t>年12月31日。</w:t>
      </w:r>
    </w:p>
    <w:p w14:paraId="7AFCDCE6">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按照核算范围划分，其自身运营碳排放维度的排放源包括如下领域：</w:t>
      </w:r>
    </w:p>
    <w:p w14:paraId="4F32DAC2">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bookmarkStart w:id="36" w:name="_Toc88517042"/>
      <w:r>
        <w:rPr>
          <w:rFonts w:hint="eastAsia" w:ascii="黑体" w:hAnsi="黑体" w:eastAsia="黑体" w:cs="黑体"/>
          <w:color w:val="auto"/>
          <w:sz w:val="30"/>
          <w:szCs w:val="30"/>
          <w:highlight w:val="none"/>
        </w:rPr>
        <w:t>范围一</w:t>
      </w:r>
    </w:p>
    <w:p w14:paraId="49C75FC4">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银行机构自身运营边界内所产生的直接排放</w:t>
      </w:r>
      <w:bookmarkEnd w:id="36"/>
      <w:r>
        <w:rPr>
          <w:rFonts w:hint="eastAsia" w:ascii="黑体" w:hAnsi="黑体" w:eastAsia="黑体" w:cs="黑体"/>
          <w:color w:val="auto"/>
          <w:sz w:val="30"/>
          <w:szCs w:val="30"/>
          <w:highlight w:val="none"/>
        </w:rPr>
        <w:t>，指核算边界内固定和移动燃烧设备中发生氧化燃烧过程产生的温室气体排放，包括：发电机组消耗的柴油，食堂消耗的天然气，食堂消耗的液化石油气，公务用车消耗的汽油、柴油。</w:t>
      </w:r>
    </w:p>
    <w:p w14:paraId="43F0280B">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bookmarkStart w:id="37" w:name="_Toc88517043"/>
      <w:r>
        <w:rPr>
          <w:rFonts w:hint="eastAsia" w:ascii="黑体" w:hAnsi="黑体" w:eastAsia="黑体" w:cs="黑体"/>
          <w:color w:val="auto"/>
          <w:sz w:val="30"/>
          <w:szCs w:val="30"/>
          <w:highlight w:val="none"/>
        </w:rPr>
        <w:t>范围二</w:t>
      </w:r>
    </w:p>
    <w:p w14:paraId="07638551">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银行机构自身运营边界内所产生的间接排放</w:t>
      </w:r>
      <w:bookmarkEnd w:id="37"/>
      <w:r>
        <w:rPr>
          <w:rFonts w:hint="eastAsia" w:ascii="黑体" w:hAnsi="黑体" w:eastAsia="黑体" w:cs="黑体"/>
          <w:color w:val="auto"/>
          <w:sz w:val="30"/>
          <w:szCs w:val="30"/>
          <w:highlight w:val="none"/>
        </w:rPr>
        <w:t>，指总部机关及各支行网点消耗外购电力所产生的二氧化碳排放，包括：公共机构照明、空调（新风）、电梯、办公设备、公务用车等消耗的电力，离行式ATM配套，助农终端等。</w:t>
      </w:r>
    </w:p>
    <w:p w14:paraId="5CFB186D">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bookmarkStart w:id="38" w:name="_Toc88517044"/>
      <w:r>
        <w:rPr>
          <w:rFonts w:hint="eastAsia" w:ascii="黑体" w:hAnsi="黑体" w:eastAsia="黑体" w:cs="黑体"/>
          <w:color w:val="auto"/>
          <w:sz w:val="30"/>
          <w:szCs w:val="30"/>
          <w:highlight w:val="none"/>
        </w:rPr>
        <w:t>范围三</w:t>
      </w:r>
    </w:p>
    <w:p w14:paraId="6F31165A">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银行机构自身运营相关的供应链端所产生的间接排放</w:t>
      </w:r>
      <w:bookmarkEnd w:id="38"/>
      <w:r>
        <w:rPr>
          <w:rFonts w:hint="eastAsia" w:ascii="黑体" w:hAnsi="黑体" w:eastAsia="黑体" w:cs="黑体"/>
          <w:color w:val="auto"/>
          <w:sz w:val="30"/>
          <w:szCs w:val="30"/>
          <w:highlight w:val="none"/>
        </w:rPr>
        <w:t>，指供应链端所产生的间接碳排放，包括：押解车辆外包运输消耗的汽油、柴油，垃圾分类处理产生的排放，日常办公消耗的A3/A4纸张、合同用纸及凭证用纸，员工商务差旅涉及的乘坐高铁、飞机、自驾出行产生的排放，员工通勤消耗的汽油、柴油。</w:t>
      </w:r>
    </w:p>
    <w:p w14:paraId="5E87850E">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39" w:name="_Toc88517045"/>
      <w:bookmarkStart w:id="40" w:name="_Toc7128"/>
      <w:r>
        <w:rPr>
          <w:rFonts w:hint="eastAsia" w:ascii="黑体" w:hAnsi="黑体" w:eastAsia="黑体" w:cs="黑体"/>
          <w:color w:val="auto"/>
          <w:sz w:val="30"/>
          <w:szCs w:val="30"/>
          <w:highlight w:val="none"/>
        </w:rPr>
        <w:t>（二）温室气体种类及GWP的确定</w:t>
      </w:r>
      <w:bookmarkEnd w:id="39"/>
      <w:bookmarkEnd w:id="40"/>
    </w:p>
    <w:p w14:paraId="781734BB">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本报告所涉及温室气体</w:t>
      </w:r>
      <w:r>
        <w:rPr>
          <w:rFonts w:hint="eastAsia" w:ascii="黑体" w:hAnsi="黑体" w:eastAsia="黑体" w:cs="黑体"/>
          <w:color w:val="auto"/>
          <w:sz w:val="30"/>
          <w:szCs w:val="30"/>
          <w:highlight w:val="none"/>
        </w:rPr>
        <w:footnoteReference w:id="1"/>
      </w:r>
      <w:r>
        <w:rPr>
          <w:rFonts w:hint="eastAsia" w:ascii="黑体" w:hAnsi="黑体" w:eastAsia="黑体" w:cs="黑体"/>
          <w:color w:val="auto"/>
          <w:sz w:val="30"/>
          <w:szCs w:val="30"/>
          <w:highlight w:val="none"/>
        </w:rPr>
        <w:t>包括二氧化碳（CO2）、甲烷（CH4)、氧化亚氮（N2O）。其中，甲烷（CH4)、氧化亚氮（N2O）的全球变暖潜势值（GWP）根据《省级温室气体清单编制指南》的规定分别确定为25和298。</w:t>
      </w:r>
    </w:p>
    <w:p w14:paraId="5C77C222">
      <w:pPr>
        <w:pageBreakBefore w:val="0"/>
        <w:kinsoku/>
        <w:wordWrap/>
        <w:overflowPunct/>
        <w:topLinePunct w:val="0"/>
        <w:bidi w:val="0"/>
        <w:adjustRightInd/>
        <w:snapToGrid/>
        <w:spacing w:line="240" w:lineRule="auto"/>
        <w:ind w:left="0" w:leftChars="0" w:firstLine="602" w:firstLineChars="200"/>
        <w:rPr>
          <w:rFonts w:hint="eastAsia" w:ascii="黑体" w:hAnsi="黑体" w:eastAsia="黑体" w:cs="黑体"/>
          <w:b/>
          <w:bCs/>
          <w:color w:val="auto"/>
          <w:kern w:val="2"/>
          <w:sz w:val="30"/>
          <w:szCs w:val="30"/>
          <w:highlight w:val="none"/>
          <w:lang w:val="en-US" w:eastAsia="zh-CN" w:bidi="ar-SA"/>
        </w:rPr>
      </w:pPr>
      <w:r>
        <w:rPr>
          <w:rFonts w:hint="eastAsia" w:ascii="黑体" w:hAnsi="黑体" w:eastAsia="黑体" w:cs="黑体"/>
          <w:b/>
          <w:bCs/>
          <w:color w:val="auto"/>
          <w:kern w:val="2"/>
          <w:sz w:val="30"/>
          <w:szCs w:val="30"/>
          <w:highlight w:val="none"/>
          <w:lang w:val="en-US" w:eastAsia="zh-CN" w:bidi="ar-SA"/>
        </w:rPr>
        <w:t>（三）自身经营活动产生的温室气体排放与构成</w:t>
      </w:r>
    </w:p>
    <w:p w14:paraId="4DED63D1">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结合《湖南省金融机构环境信息披露试点工作方案》和《金融机构环境信息披露指南》要求，我行测算了</w:t>
      </w:r>
      <w:r>
        <w:rPr>
          <w:rFonts w:hint="eastAsia" w:ascii="黑体" w:hAnsi="黑体" w:eastAsia="黑体" w:cs="黑体"/>
          <w:color w:val="auto"/>
          <w:sz w:val="30"/>
          <w:szCs w:val="30"/>
          <w:highlight w:val="none"/>
        </w:rPr>
        <w:t>202</w:t>
      </w:r>
      <w:r>
        <w:rPr>
          <w:rFonts w:hint="eastAsia" w:ascii="黑体" w:hAnsi="黑体" w:eastAsia="黑体" w:cs="黑体"/>
          <w:color w:val="auto"/>
          <w:sz w:val="30"/>
          <w:szCs w:val="30"/>
          <w:highlight w:val="none"/>
          <w:lang w:val="en-US" w:eastAsia="zh-CN"/>
        </w:rPr>
        <w:t>4</w:t>
      </w:r>
      <w:r>
        <w:rPr>
          <w:rFonts w:hint="eastAsia" w:ascii="黑体" w:hAnsi="黑体" w:eastAsia="黑体" w:cs="黑体"/>
          <w:color w:val="auto"/>
          <w:sz w:val="30"/>
          <w:szCs w:val="30"/>
          <w:highlight w:val="none"/>
        </w:rPr>
        <w:t>年</w:t>
      </w:r>
      <w:r>
        <w:rPr>
          <w:rFonts w:hint="eastAsia" w:ascii="黑体" w:hAnsi="黑体" w:eastAsia="黑体" w:cs="黑体"/>
          <w:color w:val="auto"/>
          <w:sz w:val="30"/>
          <w:szCs w:val="30"/>
          <w:highlight w:val="none"/>
        </w:rPr>
        <w:t>自身经营活动资源消耗情况和温室气体碳排放量，完成了《株洲农村商业银行202</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rPr>
        <w:t>年度温室气体排放报告》，结果如下：</w:t>
      </w:r>
    </w:p>
    <w:p w14:paraId="695087FB">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202</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rPr>
        <w:t>年度</w:t>
      </w:r>
      <w:r>
        <w:rPr>
          <w:rFonts w:hint="eastAsia" w:ascii="黑体" w:hAnsi="黑体" w:eastAsia="黑体" w:cs="黑体"/>
          <w:color w:val="auto"/>
          <w:sz w:val="30"/>
          <w:szCs w:val="30"/>
          <w:highlight w:val="none"/>
        </w:rPr>
        <w:t>自身运营温室气体排放总量（范围1、范围2及范围3）为</w:t>
      </w:r>
      <w:r>
        <w:rPr>
          <w:rFonts w:hint="eastAsia" w:ascii="黑体" w:hAnsi="黑体" w:eastAsia="黑体" w:cs="黑体"/>
          <w:color w:val="auto"/>
          <w:sz w:val="30"/>
          <w:szCs w:val="30"/>
          <w:highlight w:val="none"/>
          <w:lang w:val="en-US" w:eastAsia="zh-CN"/>
        </w:rPr>
        <w:t>2010.86</w:t>
      </w:r>
      <w:r>
        <w:rPr>
          <w:rFonts w:hint="eastAsia" w:ascii="黑体" w:hAnsi="黑体" w:eastAsia="黑体" w:cs="黑体"/>
          <w:color w:val="auto"/>
          <w:sz w:val="30"/>
          <w:szCs w:val="30"/>
          <w:highlight w:val="none"/>
        </w:rPr>
        <w:t>吨二氧化碳当量，按照员工总人数</w:t>
      </w:r>
      <w:r>
        <w:rPr>
          <w:rFonts w:hint="eastAsia" w:ascii="黑体" w:hAnsi="黑体" w:eastAsia="黑体" w:cs="黑体"/>
          <w:color w:val="auto"/>
          <w:sz w:val="30"/>
          <w:szCs w:val="30"/>
          <w:highlight w:val="none"/>
          <w:lang w:val="en-US" w:eastAsia="zh-CN"/>
        </w:rPr>
        <w:t>508</w:t>
      </w:r>
      <w:r>
        <w:rPr>
          <w:rFonts w:hint="eastAsia" w:ascii="黑体" w:hAnsi="黑体" w:eastAsia="黑体" w:cs="黑体"/>
          <w:color w:val="auto"/>
          <w:sz w:val="30"/>
          <w:szCs w:val="30"/>
          <w:highlight w:val="none"/>
        </w:rPr>
        <w:t>计算，人均温室气体排放</w:t>
      </w:r>
      <w:r>
        <w:rPr>
          <w:rFonts w:hint="eastAsia" w:ascii="黑体" w:hAnsi="黑体" w:eastAsia="黑体" w:cs="黑体"/>
          <w:color w:val="auto"/>
          <w:sz w:val="30"/>
          <w:szCs w:val="30"/>
          <w:highlight w:val="none"/>
          <w:lang w:val="en-US" w:eastAsia="zh-CN"/>
        </w:rPr>
        <w:t>3.96</w:t>
      </w:r>
      <w:r>
        <w:rPr>
          <w:rFonts w:hint="eastAsia" w:ascii="黑体" w:hAnsi="黑体" w:eastAsia="黑体" w:cs="黑体"/>
          <w:color w:val="auto"/>
          <w:sz w:val="30"/>
          <w:szCs w:val="30"/>
          <w:highlight w:val="none"/>
        </w:rPr>
        <w:t>吨二氧化碳当量。</w:t>
      </w:r>
    </w:p>
    <w:p w14:paraId="62FA14D2">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其中，营业、办公所消耗电力的量为</w:t>
      </w:r>
      <w:r>
        <w:rPr>
          <w:rFonts w:hint="eastAsia" w:ascii="黑体" w:hAnsi="黑体" w:eastAsia="黑体" w:cs="黑体"/>
          <w:color w:val="auto"/>
          <w:sz w:val="30"/>
          <w:szCs w:val="30"/>
          <w:highlight w:val="none"/>
          <w:lang w:val="en-US" w:eastAsia="zh-CN"/>
        </w:rPr>
        <w:t>2131.67</w:t>
      </w:r>
      <w:r>
        <w:rPr>
          <w:rFonts w:hint="eastAsia" w:ascii="黑体" w:hAnsi="黑体" w:eastAsia="黑体" w:cs="黑体"/>
          <w:color w:val="auto"/>
          <w:sz w:val="30"/>
          <w:szCs w:val="30"/>
          <w:highlight w:val="none"/>
        </w:rPr>
        <w:t>兆瓦时；营业、办公所消耗的燃气量为</w:t>
      </w:r>
      <w:r>
        <w:rPr>
          <w:rFonts w:hint="eastAsia" w:ascii="黑体" w:hAnsi="黑体" w:eastAsia="黑体" w:cs="黑体"/>
          <w:color w:val="auto"/>
          <w:sz w:val="30"/>
          <w:szCs w:val="30"/>
          <w:highlight w:val="none"/>
          <w:lang w:val="en-US" w:eastAsia="zh-CN"/>
        </w:rPr>
        <w:t>7856.10</w:t>
      </w:r>
      <w:r>
        <w:rPr>
          <w:rFonts w:hint="eastAsia" w:ascii="黑体" w:hAnsi="黑体" w:eastAsia="黑体" w:cs="黑体"/>
          <w:color w:val="auto"/>
          <w:sz w:val="30"/>
          <w:szCs w:val="30"/>
          <w:highlight w:val="none"/>
        </w:rPr>
        <w:t>标准立方米；自有交通运输工具消耗的汽油量为</w:t>
      </w:r>
      <w:r>
        <w:rPr>
          <w:rFonts w:hint="eastAsia" w:ascii="黑体" w:hAnsi="黑体" w:eastAsia="黑体" w:cs="黑体"/>
          <w:color w:val="auto"/>
          <w:sz w:val="30"/>
          <w:szCs w:val="30"/>
          <w:highlight w:val="none"/>
          <w:lang w:val="en-US" w:eastAsia="zh-CN"/>
        </w:rPr>
        <w:t>70730</w:t>
      </w:r>
      <w:r>
        <w:rPr>
          <w:rFonts w:hint="eastAsia" w:ascii="黑体" w:hAnsi="黑体" w:eastAsia="黑体" w:cs="黑体"/>
          <w:color w:val="auto"/>
          <w:sz w:val="30"/>
          <w:szCs w:val="30"/>
          <w:highlight w:val="none"/>
        </w:rPr>
        <w:t>升；员工通勤产生的温室气体排放量</w:t>
      </w:r>
      <w:r>
        <w:rPr>
          <w:rFonts w:hint="eastAsia" w:ascii="黑体" w:hAnsi="黑体" w:eastAsia="黑体" w:cs="黑体"/>
          <w:color w:val="auto"/>
          <w:sz w:val="30"/>
          <w:szCs w:val="30"/>
          <w:highlight w:val="none"/>
          <w:lang w:val="en-US" w:eastAsia="zh-CN"/>
        </w:rPr>
        <w:t>503.17</w:t>
      </w:r>
      <w:r>
        <w:rPr>
          <w:rFonts w:hint="eastAsia" w:ascii="黑体" w:hAnsi="黑体" w:eastAsia="黑体" w:cs="黑体"/>
          <w:color w:val="auto"/>
          <w:sz w:val="30"/>
          <w:szCs w:val="30"/>
          <w:highlight w:val="none"/>
        </w:rPr>
        <w:t>吨二氧化碳当量；员工商务差旅产生的温室气体排放量</w:t>
      </w:r>
      <w:r>
        <w:rPr>
          <w:rFonts w:hint="eastAsia" w:ascii="黑体" w:hAnsi="黑体" w:eastAsia="黑体" w:cs="黑体"/>
          <w:color w:val="auto"/>
          <w:sz w:val="30"/>
          <w:szCs w:val="30"/>
          <w:highlight w:val="none"/>
          <w:lang w:val="en-US" w:eastAsia="zh-CN"/>
        </w:rPr>
        <w:t>177.89</w:t>
      </w:r>
      <w:r>
        <w:rPr>
          <w:rFonts w:hint="eastAsia" w:ascii="黑体" w:hAnsi="黑体" w:eastAsia="黑体" w:cs="黑体"/>
          <w:color w:val="auto"/>
          <w:sz w:val="30"/>
          <w:szCs w:val="30"/>
          <w:highlight w:val="none"/>
        </w:rPr>
        <w:t>吨二氧化碳当量，营业、办公所消耗的纸张</w:t>
      </w:r>
      <w:r>
        <w:rPr>
          <w:rFonts w:hint="eastAsia" w:ascii="黑体" w:hAnsi="黑体" w:eastAsia="黑体" w:cs="黑体"/>
          <w:color w:val="auto"/>
          <w:sz w:val="30"/>
          <w:szCs w:val="30"/>
          <w:highlight w:val="none"/>
          <w:lang w:val="en-US" w:eastAsia="zh-CN"/>
        </w:rPr>
        <w:t>11077.67</w:t>
      </w:r>
      <w:r>
        <w:rPr>
          <w:rFonts w:hint="eastAsia" w:ascii="黑体" w:hAnsi="黑体" w:eastAsia="黑体" w:cs="黑体"/>
          <w:color w:val="auto"/>
          <w:sz w:val="30"/>
          <w:szCs w:val="30"/>
          <w:highlight w:val="none"/>
        </w:rPr>
        <w:t>Kg。</w:t>
      </w:r>
    </w:p>
    <w:p w14:paraId="6261D420">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其中，自身运营边界内所产生的间接排放总量（范围2）占比最高，为</w:t>
      </w:r>
      <w:r>
        <w:rPr>
          <w:rFonts w:hint="eastAsia" w:ascii="黑体" w:hAnsi="黑体" w:eastAsia="黑体" w:cs="黑体"/>
          <w:color w:val="auto"/>
          <w:sz w:val="30"/>
          <w:szCs w:val="30"/>
          <w:highlight w:val="none"/>
          <w:lang w:val="en-US" w:eastAsia="zh-CN"/>
        </w:rPr>
        <w:t>1117.69</w:t>
      </w:r>
      <w:r>
        <w:rPr>
          <w:rFonts w:hint="eastAsia" w:ascii="黑体" w:hAnsi="黑体" w:eastAsia="黑体" w:cs="黑体"/>
          <w:color w:val="auto"/>
          <w:sz w:val="30"/>
          <w:szCs w:val="30"/>
          <w:highlight w:val="none"/>
        </w:rPr>
        <w:t>吨二氧化碳当量。</w:t>
      </w:r>
    </w:p>
    <w:p w14:paraId="3769FD28">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株洲农村商业银行202</w:t>
      </w:r>
      <w:r>
        <w:rPr>
          <w:rFonts w:hint="eastAsia" w:ascii="黑体" w:hAnsi="黑体" w:eastAsia="黑体" w:cs="黑体"/>
          <w:color w:val="auto"/>
          <w:sz w:val="28"/>
          <w:szCs w:val="28"/>
          <w:highlight w:val="none"/>
          <w:lang w:val="en-US" w:eastAsia="zh-CN"/>
        </w:rPr>
        <w:t>4</w:t>
      </w:r>
      <w:r>
        <w:rPr>
          <w:rFonts w:hint="eastAsia" w:ascii="黑体" w:hAnsi="黑体" w:eastAsia="黑体" w:cs="黑体"/>
          <w:color w:val="auto"/>
          <w:sz w:val="28"/>
          <w:szCs w:val="28"/>
          <w:highlight w:val="none"/>
        </w:rPr>
        <w:t>年度自身运营温室气体排放总量构成</w:t>
      </w:r>
    </w:p>
    <w:tbl>
      <w:tblPr>
        <w:tblStyle w:val="17"/>
        <w:tblW w:w="94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68"/>
        <w:gridCol w:w="2868"/>
        <w:gridCol w:w="1809"/>
        <w:gridCol w:w="3094"/>
      </w:tblGrid>
      <w:tr w14:paraId="6777E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668" w:type="dxa"/>
            <w:shd w:val="clear" w:color="auto" w:fill="F2F2F2"/>
            <w:vAlign w:val="center"/>
          </w:tcPr>
          <w:p w14:paraId="482731F2">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范围</w:t>
            </w:r>
          </w:p>
        </w:tc>
        <w:tc>
          <w:tcPr>
            <w:tcW w:w="2868" w:type="dxa"/>
            <w:shd w:val="clear" w:color="auto" w:fill="F2F2F2"/>
            <w:vAlign w:val="center"/>
          </w:tcPr>
          <w:p w14:paraId="6C177C74">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排放量</w:t>
            </w:r>
          </w:p>
          <w:p w14:paraId="2D73287D">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（吨二氧化碳当量）</w:t>
            </w:r>
          </w:p>
        </w:tc>
        <w:tc>
          <w:tcPr>
            <w:tcW w:w="1809" w:type="dxa"/>
            <w:shd w:val="clear" w:color="auto" w:fill="F2F2F2"/>
            <w:vAlign w:val="center"/>
          </w:tcPr>
          <w:p w14:paraId="76E1F0BA">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占比</w:t>
            </w:r>
          </w:p>
        </w:tc>
        <w:tc>
          <w:tcPr>
            <w:tcW w:w="3094" w:type="dxa"/>
            <w:shd w:val="clear" w:color="auto" w:fill="F2F2F2"/>
            <w:vAlign w:val="top"/>
          </w:tcPr>
          <w:p w14:paraId="7C3B1ECE">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人均排放量</w:t>
            </w:r>
          </w:p>
          <w:p w14:paraId="34DD5D9D">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（吨二氧化碳当量/人）</w:t>
            </w:r>
          </w:p>
        </w:tc>
      </w:tr>
      <w:tr w14:paraId="03B50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668" w:type="dxa"/>
            <w:vAlign w:val="top"/>
          </w:tcPr>
          <w:p w14:paraId="3985E771">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范围1排放</w:t>
            </w:r>
          </w:p>
        </w:tc>
        <w:tc>
          <w:tcPr>
            <w:tcW w:w="2868" w:type="dxa"/>
            <w:vAlign w:val="center"/>
          </w:tcPr>
          <w:p w14:paraId="15D7152D">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163.58</w:t>
            </w:r>
          </w:p>
        </w:tc>
        <w:tc>
          <w:tcPr>
            <w:tcW w:w="1809" w:type="dxa"/>
            <w:vAlign w:val="center"/>
          </w:tcPr>
          <w:p w14:paraId="7EFE6462">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8.13%</w:t>
            </w:r>
          </w:p>
        </w:tc>
        <w:tc>
          <w:tcPr>
            <w:tcW w:w="3094" w:type="dxa"/>
            <w:vAlign w:val="center"/>
          </w:tcPr>
          <w:p w14:paraId="2F34183C">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0.32</w:t>
            </w:r>
          </w:p>
        </w:tc>
      </w:tr>
      <w:tr w14:paraId="50955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668" w:type="dxa"/>
            <w:vAlign w:val="top"/>
          </w:tcPr>
          <w:p w14:paraId="56E22007">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范围2排放</w:t>
            </w:r>
          </w:p>
        </w:tc>
        <w:tc>
          <w:tcPr>
            <w:tcW w:w="2868" w:type="dxa"/>
            <w:vAlign w:val="center"/>
          </w:tcPr>
          <w:p w14:paraId="2200032D">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1117.69</w:t>
            </w:r>
          </w:p>
        </w:tc>
        <w:tc>
          <w:tcPr>
            <w:tcW w:w="1809" w:type="dxa"/>
            <w:vAlign w:val="center"/>
          </w:tcPr>
          <w:p w14:paraId="36D310F6">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55.58%</w:t>
            </w:r>
          </w:p>
        </w:tc>
        <w:tc>
          <w:tcPr>
            <w:tcW w:w="3094" w:type="dxa"/>
            <w:vAlign w:val="center"/>
          </w:tcPr>
          <w:p w14:paraId="044817CA">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2.20</w:t>
            </w:r>
          </w:p>
        </w:tc>
      </w:tr>
      <w:tr w14:paraId="330E2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668" w:type="dxa"/>
            <w:vAlign w:val="top"/>
          </w:tcPr>
          <w:p w14:paraId="0E98CAC1">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范围3排放</w:t>
            </w:r>
          </w:p>
        </w:tc>
        <w:tc>
          <w:tcPr>
            <w:tcW w:w="2868" w:type="dxa"/>
            <w:vAlign w:val="center"/>
          </w:tcPr>
          <w:p w14:paraId="35246477">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729.59</w:t>
            </w:r>
          </w:p>
        </w:tc>
        <w:tc>
          <w:tcPr>
            <w:tcW w:w="1809" w:type="dxa"/>
            <w:vAlign w:val="center"/>
          </w:tcPr>
          <w:p w14:paraId="26BB743D">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36.28%</w:t>
            </w:r>
          </w:p>
        </w:tc>
        <w:tc>
          <w:tcPr>
            <w:tcW w:w="3094" w:type="dxa"/>
            <w:vAlign w:val="center"/>
          </w:tcPr>
          <w:p w14:paraId="423EFC6C">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1.44</w:t>
            </w:r>
          </w:p>
        </w:tc>
      </w:tr>
      <w:tr w14:paraId="3F36F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668" w:type="dxa"/>
            <w:vAlign w:val="top"/>
          </w:tcPr>
          <w:p w14:paraId="49FE7A89">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总计</w:t>
            </w:r>
          </w:p>
        </w:tc>
        <w:tc>
          <w:tcPr>
            <w:tcW w:w="2868" w:type="dxa"/>
            <w:vAlign w:val="center"/>
          </w:tcPr>
          <w:p w14:paraId="2DC7F8CF">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2010.86</w:t>
            </w:r>
          </w:p>
        </w:tc>
        <w:tc>
          <w:tcPr>
            <w:tcW w:w="1809" w:type="dxa"/>
            <w:vAlign w:val="center"/>
          </w:tcPr>
          <w:p w14:paraId="18EAE5BD">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100%</w:t>
            </w:r>
          </w:p>
        </w:tc>
        <w:tc>
          <w:tcPr>
            <w:tcW w:w="3094" w:type="dxa"/>
            <w:vAlign w:val="center"/>
          </w:tcPr>
          <w:p w14:paraId="373B5423">
            <w:pPr>
              <w:pageBreakBefore w:val="0"/>
              <w:kinsoku/>
              <w:wordWrap/>
              <w:overflowPunct/>
              <w:topLinePunct w:val="0"/>
              <w:bidi w:val="0"/>
              <w:adjustRightInd/>
              <w:snapToGrid/>
              <w:spacing w:line="240" w:lineRule="auto"/>
              <w:ind w:left="0" w:leftChars="0" w:right="0" w:rightChars="0" w:firstLine="0" w:firstLineChars="0"/>
              <w:jc w:val="center"/>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3.96</w:t>
            </w:r>
          </w:p>
        </w:tc>
      </w:tr>
    </w:tbl>
    <w:p w14:paraId="513E6F3A">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41" w:name="_Toc7272"/>
      <w:r>
        <w:rPr>
          <w:rFonts w:hint="eastAsia" w:ascii="黑体" w:hAnsi="黑体" w:eastAsia="黑体" w:cs="黑体"/>
          <w:color w:val="auto"/>
          <w:sz w:val="30"/>
          <w:szCs w:val="30"/>
          <w:highlight w:val="none"/>
        </w:rPr>
        <w:t>（四）经营活动对环境影响分析</w:t>
      </w:r>
      <w:bookmarkEnd w:id="41"/>
    </w:p>
    <w:p w14:paraId="73D8F56C">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为了对本行经营活动产生的环境影响开展量化分析，我行选择20</w:t>
      </w:r>
      <w:r>
        <w:rPr>
          <w:rFonts w:hint="eastAsia" w:ascii="黑体" w:hAnsi="黑体" w:eastAsia="黑体" w:cs="黑体"/>
          <w:color w:val="auto"/>
          <w:sz w:val="30"/>
          <w:szCs w:val="30"/>
          <w:highlight w:val="none"/>
          <w:lang w:val="en-US" w:eastAsia="zh-CN"/>
        </w:rPr>
        <w:t>22</w:t>
      </w:r>
      <w:r>
        <w:rPr>
          <w:rFonts w:hint="eastAsia" w:ascii="黑体" w:hAnsi="黑体" w:eastAsia="黑体" w:cs="黑体"/>
          <w:color w:val="auto"/>
          <w:sz w:val="30"/>
          <w:szCs w:val="30"/>
          <w:highlight w:val="none"/>
        </w:rPr>
        <w:t>年作为碳减排核算的基期，同时核算了</w:t>
      </w:r>
      <w:r>
        <w:rPr>
          <w:rFonts w:hint="eastAsia" w:ascii="黑体" w:hAnsi="黑体" w:eastAsia="黑体" w:cs="黑体"/>
          <w:color w:val="auto"/>
          <w:sz w:val="30"/>
          <w:szCs w:val="30"/>
          <w:highlight w:val="none"/>
        </w:rPr>
        <w:t>20</w:t>
      </w:r>
      <w:r>
        <w:rPr>
          <w:rFonts w:hint="eastAsia" w:ascii="黑体" w:hAnsi="黑体" w:eastAsia="黑体" w:cs="黑体"/>
          <w:color w:val="auto"/>
          <w:sz w:val="30"/>
          <w:szCs w:val="30"/>
          <w:highlight w:val="none"/>
          <w:lang w:val="en-US" w:eastAsia="zh-CN"/>
        </w:rPr>
        <w:t>25</w:t>
      </w:r>
      <w:r>
        <w:rPr>
          <w:rFonts w:hint="eastAsia" w:ascii="黑体" w:hAnsi="黑体" w:eastAsia="黑体" w:cs="黑体"/>
          <w:color w:val="auto"/>
          <w:sz w:val="30"/>
          <w:szCs w:val="30"/>
          <w:highlight w:val="none"/>
        </w:rPr>
        <w:t>年</w:t>
      </w:r>
      <w:r>
        <w:rPr>
          <w:rFonts w:hint="eastAsia" w:ascii="黑体" w:hAnsi="黑体" w:eastAsia="黑体" w:cs="黑体"/>
          <w:color w:val="auto"/>
          <w:sz w:val="30"/>
          <w:szCs w:val="30"/>
          <w:highlight w:val="none"/>
        </w:rPr>
        <w:t>自身经营产生的碳排放。20</w:t>
      </w:r>
      <w:r>
        <w:rPr>
          <w:rFonts w:hint="eastAsia" w:ascii="黑体" w:hAnsi="黑体" w:eastAsia="黑体" w:cs="黑体"/>
          <w:color w:val="auto"/>
          <w:sz w:val="30"/>
          <w:szCs w:val="30"/>
          <w:highlight w:val="none"/>
          <w:lang w:val="en-US" w:eastAsia="zh-CN"/>
        </w:rPr>
        <w:t>22</w:t>
      </w:r>
      <w:r>
        <w:rPr>
          <w:rFonts w:hint="eastAsia" w:ascii="黑体" w:hAnsi="黑体" w:eastAsia="黑体" w:cs="黑体"/>
          <w:color w:val="auto"/>
          <w:sz w:val="30"/>
          <w:szCs w:val="30"/>
          <w:highlight w:val="none"/>
        </w:rPr>
        <w:t>年核算边界同</w:t>
      </w:r>
      <w:r>
        <w:rPr>
          <w:rFonts w:hint="eastAsia" w:ascii="黑体" w:hAnsi="黑体" w:eastAsia="黑体" w:cs="黑体"/>
          <w:color w:val="auto"/>
          <w:sz w:val="30"/>
          <w:szCs w:val="30"/>
          <w:highlight w:val="none"/>
        </w:rPr>
        <w:t>202</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rPr>
        <w:t>年</w:t>
      </w:r>
      <w:r>
        <w:rPr>
          <w:rFonts w:hint="eastAsia" w:ascii="黑体" w:hAnsi="黑体" w:eastAsia="黑体" w:cs="黑体"/>
          <w:color w:val="auto"/>
          <w:sz w:val="30"/>
          <w:szCs w:val="30"/>
          <w:highlight w:val="none"/>
        </w:rPr>
        <w:t>保持一致，碳减排核算的边界与碳排放核算的边界保持一致。我行参考《用能单位节能量计算方法》（GB/T 13234），利用《金融机构碳核算技术指南（试行）》提供的简化方法估算我行碳减排量。</w:t>
      </w:r>
    </w:p>
    <w:p w14:paraId="21288644">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202</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rPr>
        <w:t>年，</w:t>
      </w:r>
      <w:r>
        <w:rPr>
          <w:rFonts w:hint="eastAsia" w:ascii="黑体" w:hAnsi="黑体" w:eastAsia="黑体" w:cs="黑体"/>
          <w:color w:val="auto"/>
          <w:sz w:val="30"/>
          <w:szCs w:val="30"/>
          <w:highlight w:val="none"/>
        </w:rPr>
        <w:t>我行严格遵照《株洲农商银行营业部环境保护管理制度》，办公用纸双面打印，节约纸张的同时减少生活废弃物的产生量；办公环境用电节约，使用节能电器；办理业务及开会培训，尽量拼车前往或乘坐公共交通工具；开展垃圾分类，可回收部分坚决回收。</w:t>
      </w:r>
    </w:p>
    <w:p w14:paraId="76F5A6CD">
      <w:pPr>
        <w:pStyle w:val="2"/>
        <w:pageBreakBefore w:val="0"/>
        <w:kinsoku/>
        <w:wordWrap/>
        <w:overflowPunct/>
        <w:topLinePunct w:val="0"/>
        <w:bidi w:val="0"/>
        <w:adjustRightInd/>
        <w:snapToGrid/>
        <w:spacing w:before="0" w:after="0" w:line="240" w:lineRule="auto"/>
        <w:ind w:left="0" w:leftChars="0" w:firstLine="640" w:firstLineChars="200"/>
        <w:rPr>
          <w:rFonts w:hint="eastAsia" w:ascii="黑体" w:hAnsi="黑体" w:eastAsia="黑体" w:cs="黑体"/>
          <w:b w:val="0"/>
          <w:color w:val="auto"/>
          <w:sz w:val="32"/>
          <w:highlight w:val="none"/>
        </w:rPr>
      </w:pPr>
      <w:bookmarkStart w:id="42" w:name="_Toc8761"/>
      <w:r>
        <w:rPr>
          <w:rFonts w:hint="eastAsia" w:ascii="黑体" w:hAnsi="黑体" w:eastAsia="黑体" w:cs="黑体"/>
          <w:b w:val="0"/>
          <w:color w:val="auto"/>
          <w:sz w:val="32"/>
          <w:highlight w:val="none"/>
        </w:rPr>
        <w:t>八、数据梳理、校验及保护</w:t>
      </w:r>
      <w:bookmarkEnd w:id="42"/>
      <w:r>
        <w:rPr>
          <w:rFonts w:hint="eastAsia" w:ascii="黑体" w:hAnsi="黑体" w:eastAsia="黑体" w:cs="黑体"/>
          <w:b w:val="0"/>
          <w:color w:val="auto"/>
          <w:sz w:val="32"/>
          <w:highlight w:val="none"/>
        </w:rPr>
        <w:tab/>
      </w:r>
    </w:p>
    <w:p w14:paraId="7B9E397D">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行高度重视数据和信息系统的安全工作，明确数据安全管理职责，落实数据安全保护工作，将信息安全纳入我行内控管理体系。为确保信息系统的安全运行，我行从组织机构、人员管理、制度建设、技术保障、监督落实等各个主要环节入手，采取了数据安全分级管理体系，严格防控安全措施，提升员工数据安全意识。加强数据库日常使用管理的监督与检查，降低信息系统运行风险，有效保障业务的正常开展，严防数据泄露风险。我行还实施了业务连续性计划，在人员管理、职责划分、环境保障、应用维护、应急响应等方面建立了一套严格的管理流程。</w:t>
      </w:r>
    </w:p>
    <w:p w14:paraId="1D2B5EF2">
      <w:pPr>
        <w:pStyle w:val="2"/>
        <w:pageBreakBefore w:val="0"/>
        <w:kinsoku/>
        <w:wordWrap/>
        <w:overflowPunct/>
        <w:topLinePunct w:val="0"/>
        <w:bidi w:val="0"/>
        <w:adjustRightInd/>
        <w:snapToGrid/>
        <w:spacing w:before="0" w:after="0" w:line="240" w:lineRule="auto"/>
        <w:ind w:left="0" w:leftChars="0" w:firstLine="640" w:firstLineChars="200"/>
        <w:rPr>
          <w:rFonts w:hint="eastAsia" w:ascii="黑体" w:hAnsi="黑体" w:eastAsia="黑体" w:cs="黑体"/>
          <w:b w:val="0"/>
          <w:color w:val="auto"/>
          <w:sz w:val="32"/>
          <w:highlight w:val="none"/>
          <w:lang w:eastAsia="zh-CN"/>
        </w:rPr>
      </w:pPr>
      <w:bookmarkStart w:id="43" w:name="_Toc17269"/>
      <w:r>
        <w:rPr>
          <w:rFonts w:hint="eastAsia" w:ascii="黑体" w:hAnsi="黑体" w:eastAsia="黑体" w:cs="黑体"/>
          <w:b w:val="0"/>
          <w:color w:val="auto"/>
          <w:sz w:val="32"/>
          <w:highlight w:val="none"/>
          <w:lang w:eastAsia="zh-CN"/>
        </w:rPr>
        <w:t>九</w:t>
      </w:r>
      <w:r>
        <w:rPr>
          <w:rFonts w:hint="eastAsia" w:ascii="黑体" w:hAnsi="黑体" w:eastAsia="黑体" w:cs="黑体"/>
          <w:b w:val="0"/>
          <w:color w:val="auto"/>
          <w:sz w:val="32"/>
          <w:highlight w:val="none"/>
        </w:rPr>
        <w:t>、绿色金融产品创新实践</w:t>
      </w:r>
      <w:bookmarkEnd w:id="43"/>
    </w:p>
    <w:p w14:paraId="7EEADE55">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持续打造“绿色金融”特色品牌，积极创新绿色金融产品和服务，通过绿色贷款业务支持实体经济绿色化发展。同时，我行也在完善绿色金融组织体系，降低绿色企业融资成本，拓展绿色企业抵质押范围等方面积极创新，有效解决企业绿色融资的痛点与难点。</w:t>
      </w:r>
    </w:p>
    <w:p w14:paraId="786D623A">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44" w:name="_Toc11302"/>
      <w:r>
        <w:rPr>
          <w:rFonts w:hint="eastAsia" w:ascii="黑体" w:hAnsi="黑体" w:eastAsia="黑体" w:cs="黑体"/>
          <w:color w:val="auto"/>
          <w:sz w:val="30"/>
          <w:szCs w:val="30"/>
          <w:highlight w:val="none"/>
        </w:rPr>
        <w:t>（一）创新绿色金融产品服务</w:t>
      </w:r>
      <w:bookmarkEnd w:id="44"/>
    </w:p>
    <w:p w14:paraId="08A2266E">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行充分发挥本行“小快灵”优势，在绿色信贷方面重点支持“三农”以及“三高四新”企业，并开发、推广了“税易贷”“生猪贷”“订单贷”“企易贷”“大棚贷”等定制化绿色金融产品。同时进一步优化对绿色金融服务，对绿色贷款开辟绿色通道，优先受理、优先审批，贷款办结时限最短至24小时。</w:t>
      </w:r>
    </w:p>
    <w:p w14:paraId="5E384152">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45" w:name="_Toc8085"/>
      <w:r>
        <w:rPr>
          <w:rFonts w:hint="eastAsia" w:ascii="黑体" w:hAnsi="黑体" w:eastAsia="黑体" w:cs="黑体"/>
          <w:color w:val="auto"/>
          <w:sz w:val="30"/>
          <w:szCs w:val="30"/>
          <w:highlight w:val="none"/>
        </w:rPr>
        <w:t>（二）拓展绿色企业抵质押范围</w:t>
      </w:r>
      <w:bookmarkEnd w:id="45"/>
    </w:p>
    <w:p w14:paraId="21F005B0">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本行积极贯彻市委市政府关于农村“三变”改革的工作部署，与市农业农村局、株洲村镇集团签署《金融服务乡村振兴战略合作协议》，在打造优势特色产业、加强农村集体产权管理信息平台建设等领域展开务实合作。</w:t>
      </w:r>
    </w:p>
    <w:p w14:paraId="1A12BD57">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我行针对整村授信以及信用镇（办事处）、信用村（社区）、信用户（企业）开展培育工作，并在此基础上推出了“株洲快贷•乡村振兴e贷”以及 “种养大户贷”“大棚贷”“花木贷”“民宿贷”“林权抵押贷”等一系列特色产品，有效解决企业融资难等问题。</w:t>
      </w:r>
    </w:p>
    <w:p w14:paraId="5484A505">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bookmarkStart w:id="46" w:name="_Toc17587"/>
      <w:r>
        <w:rPr>
          <w:rFonts w:hint="eastAsia" w:ascii="黑体" w:hAnsi="黑体" w:eastAsia="黑体" w:cs="黑体"/>
          <w:color w:val="auto"/>
          <w:sz w:val="30"/>
          <w:szCs w:val="30"/>
          <w:highlight w:val="none"/>
        </w:rPr>
        <w:t xml:space="preserve">我行向湖南云田园林市政建设集团有限公司投放的贷款约4900万元，主要用于支持其花木种植及百合育种（初步阶段）业务发展。该笔资金助力企业扩大花木种植面积，优化百合育种实验条件，推动绿化苗木生产与特色花卉研发。项目通过新增绿地与多样化植被配置，有效提升了区域生态系统的稳定性和景观效果，增强了水土保持与空气净化能力。在百合育种初期阶段，企业采用科学繁育技术，减少资源浪费和化学品投入，降低了对土壤和水体的潜在影响。 </w:t>
      </w:r>
      <w:r>
        <w:rPr>
          <w:rFonts w:hint="eastAsia" w:ascii="黑体" w:hAnsi="黑体" w:eastAsia="黑体" w:cs="黑体"/>
          <w:color w:val="auto"/>
          <w:sz w:val="30"/>
          <w:szCs w:val="30"/>
          <w:highlight w:val="none"/>
        </w:rPr>
        <w:br w:type="textWrapping"/>
      </w:r>
      <w:r>
        <w:rPr>
          <w:rFonts w:hint="eastAsia" w:ascii="黑体" w:hAnsi="黑体" w:eastAsia="黑体" w:cs="黑体"/>
          <w:color w:val="auto"/>
          <w:sz w:val="30"/>
          <w:szCs w:val="30"/>
          <w:highlight w:val="none"/>
          <w:lang w:val="en-US" w:eastAsia="zh-CN"/>
        </w:rPr>
        <w:t xml:space="preserve">    </w:t>
      </w:r>
      <w:r>
        <w:rPr>
          <w:rFonts w:hint="eastAsia" w:ascii="黑体" w:hAnsi="黑体" w:eastAsia="黑体" w:cs="黑体"/>
          <w:color w:val="auto"/>
          <w:sz w:val="30"/>
          <w:szCs w:val="30"/>
          <w:highlight w:val="none"/>
        </w:rPr>
        <w:t>该贷款的落地不仅促进了企业向精细化、生态化方向转型，还带动了周边农业绿色升级，形成“生态增绿+产业升级”的良性循环。这一举措为改善当地生态环境质量、推动绿色低碳农业发展提供了示范，体现了我行金融支持生态文明建设、服务可持续发展的实际成效。</w:t>
      </w:r>
    </w:p>
    <w:p w14:paraId="3A7AFD09">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（三）建设绿色支行</w:t>
      </w:r>
      <w:bookmarkEnd w:id="46"/>
    </w:p>
    <w:p w14:paraId="57912E66">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lang w:eastAsia="zh-CN"/>
        </w:rPr>
      </w:pPr>
      <w:r>
        <w:rPr>
          <w:rFonts w:hint="eastAsia" w:ascii="黑体" w:hAnsi="黑体" w:eastAsia="黑体" w:cs="黑体"/>
          <w:color w:val="auto"/>
          <w:sz w:val="30"/>
          <w:szCs w:val="30"/>
          <w:highlight w:val="none"/>
        </w:rPr>
        <w:t>2024年，株洲农村商业银行营业部以更加高的标准、更加严的要求，建设和完善营业网点，并通过了银行业协会文明规范服务千佳网点的评估。该营业部严格管理，加大创新与客户的合作模式，提供个性化服务，加强员工培训，为我行建设绿色支行提供可借鉴的经验和优质的做法。</w:t>
      </w:r>
    </w:p>
    <w:p w14:paraId="70B9FC58">
      <w:pPr>
        <w:pStyle w:val="3"/>
        <w:pageBreakBefore w:val="0"/>
        <w:kinsoku/>
        <w:wordWrap/>
        <w:overflowPunct/>
        <w:topLinePunct w:val="0"/>
        <w:bidi w:val="0"/>
        <w:adjustRightInd/>
        <w:snapToGrid/>
        <w:spacing w:before="0" w:after="0" w:line="240" w:lineRule="auto"/>
        <w:ind w:left="0" w:leftChars="0" w:firstLine="602" w:firstLineChars="200"/>
        <w:rPr>
          <w:rFonts w:hint="eastAsia" w:ascii="黑体" w:hAnsi="黑体" w:eastAsia="黑体" w:cs="黑体"/>
          <w:color w:val="auto"/>
          <w:sz w:val="30"/>
          <w:szCs w:val="30"/>
          <w:highlight w:val="none"/>
        </w:rPr>
      </w:pPr>
      <w:bookmarkStart w:id="47" w:name="_Toc32581"/>
      <w:r>
        <w:rPr>
          <w:rFonts w:hint="eastAsia" w:ascii="黑体" w:hAnsi="黑体" w:eastAsia="黑体" w:cs="黑体"/>
          <w:color w:val="auto"/>
          <w:sz w:val="30"/>
          <w:szCs w:val="30"/>
          <w:highlight w:val="none"/>
        </w:rPr>
        <w:t>（四）未来展望</w:t>
      </w:r>
      <w:bookmarkEnd w:id="47"/>
    </w:p>
    <w:p w14:paraId="2D7D62A7">
      <w:pPr>
        <w:pageBreakBefore w:val="0"/>
        <w:kinsoku/>
        <w:wordWrap/>
        <w:overflowPunct/>
        <w:topLinePunct w:val="0"/>
        <w:bidi w:val="0"/>
        <w:adjustRightInd/>
        <w:snapToGrid/>
        <w:spacing w:line="240" w:lineRule="auto"/>
        <w:ind w:left="0" w:leftChars="0" w:firstLine="600" w:firstLineChars="200"/>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2026年是</w:t>
      </w:r>
      <w:r>
        <w:rPr>
          <w:rFonts w:hint="eastAsia" w:ascii="黑体" w:hAnsi="黑体" w:eastAsia="黑体" w:cs="黑体"/>
          <w:color w:val="auto"/>
          <w:sz w:val="30"/>
          <w:szCs w:val="30"/>
          <w:highlight w:val="none"/>
        </w:rPr>
        <w:t>“十</w:t>
      </w:r>
      <w:r>
        <w:rPr>
          <w:rFonts w:hint="eastAsia" w:ascii="黑体" w:hAnsi="黑体" w:eastAsia="黑体" w:cs="黑体"/>
          <w:color w:val="auto"/>
          <w:sz w:val="30"/>
          <w:szCs w:val="30"/>
          <w:highlight w:val="none"/>
          <w:lang w:eastAsia="zh-CN"/>
        </w:rPr>
        <w:t>五</w:t>
      </w:r>
      <w:r>
        <w:rPr>
          <w:rFonts w:hint="eastAsia" w:ascii="黑体" w:hAnsi="黑体" w:eastAsia="黑体" w:cs="黑体"/>
          <w:color w:val="auto"/>
          <w:sz w:val="30"/>
          <w:szCs w:val="30"/>
          <w:highlight w:val="none"/>
        </w:rPr>
        <w:t>五”</w:t>
      </w:r>
      <w:r>
        <w:rPr>
          <w:rFonts w:hint="eastAsia" w:ascii="黑体" w:hAnsi="黑体" w:eastAsia="黑体" w:cs="黑体"/>
          <w:color w:val="auto"/>
          <w:sz w:val="30"/>
          <w:szCs w:val="30"/>
          <w:highlight w:val="none"/>
          <w:lang w:val="en-US" w:eastAsia="zh-CN"/>
        </w:rPr>
        <w:t>开局之年，</w:t>
      </w:r>
      <w:r>
        <w:rPr>
          <w:rFonts w:hint="eastAsia" w:ascii="黑体" w:hAnsi="黑体" w:eastAsia="黑体" w:cs="黑体"/>
          <w:color w:val="auto"/>
          <w:sz w:val="30"/>
          <w:szCs w:val="30"/>
          <w:highlight w:val="none"/>
          <w:lang w:val="en-US" w:eastAsia="zh-CN"/>
        </w:rPr>
        <w:t>也</w:t>
      </w:r>
      <w:r>
        <w:rPr>
          <w:rFonts w:hint="eastAsia" w:ascii="黑体" w:hAnsi="黑体" w:eastAsia="黑体" w:cs="黑体"/>
          <w:color w:val="auto"/>
          <w:sz w:val="30"/>
          <w:szCs w:val="30"/>
          <w:highlight w:val="none"/>
        </w:rPr>
        <w:t>是碳达峰的关键期、窗口期，我行将重视环境风险管理工作，积极应对政策风险、法律风险等挑战，抓住绿色金融市场发展的机遇，推动绿色金融和可持续发展。积极开展绿色金融方面的研究，加大绿色信贷投放，实行差异化信贷政策，支持全市绿色工业、绿色农业的发展以及绿色城镇的建设，加大对节能环保项目、绿色建筑项目、绿色交通项目和绿色消费项目的支持力度，力争实现增速、增量、客户数“三个不低于”目标。探索开发推广特许经营权质押、碳排放权、节能减排融资等绿色信贷产品，开发绿色车贷、绿色消费贷等零售类金融产品，创新担保方式，提升绿色金融供给水平。</w:t>
      </w:r>
      <w:r>
        <w:rPr>
          <w:rFonts w:hint="eastAsia" w:ascii="黑体" w:hAnsi="黑体" w:eastAsia="黑体" w:cs="黑体"/>
          <w:color w:val="auto"/>
          <w:sz w:val="30"/>
          <w:szCs w:val="30"/>
          <w:highlight w:val="none"/>
          <w:lang w:val="en-US" w:eastAsia="zh-CN"/>
        </w:rPr>
        <w:t>依托省联社“普惠金融信贷移动营销系统”和</w:t>
      </w:r>
      <w:r>
        <w:rPr>
          <w:rFonts w:hint="eastAsia" w:ascii="黑体" w:hAnsi="黑体" w:eastAsia="黑体" w:cs="黑体"/>
          <w:color w:val="auto"/>
          <w:sz w:val="30"/>
          <w:szCs w:val="30"/>
          <w:highlight w:val="none"/>
        </w:rPr>
        <w:t>我行自主开发的“企贷通”系统</w:t>
      </w:r>
      <w:r>
        <w:rPr>
          <w:rFonts w:hint="eastAsia" w:ascii="黑体" w:hAnsi="黑体" w:eastAsia="黑体" w:cs="黑体"/>
          <w:color w:val="auto"/>
          <w:sz w:val="30"/>
          <w:szCs w:val="30"/>
          <w:highlight w:val="none"/>
          <w:lang w:eastAsia="zh-CN"/>
        </w:rPr>
        <w:t>，</w:t>
      </w:r>
      <w:r>
        <w:rPr>
          <w:rFonts w:hint="eastAsia" w:ascii="黑体" w:hAnsi="黑体" w:eastAsia="黑体" w:cs="黑体"/>
          <w:color w:val="auto"/>
          <w:sz w:val="30"/>
          <w:szCs w:val="30"/>
          <w:highlight w:val="none"/>
          <w:lang w:val="en-US" w:eastAsia="zh-CN"/>
        </w:rPr>
        <w:t>推广</w:t>
      </w:r>
      <w:r>
        <w:rPr>
          <w:rFonts w:hint="eastAsia" w:ascii="黑体" w:hAnsi="黑体" w:eastAsia="黑体" w:cs="黑体"/>
          <w:color w:val="auto"/>
          <w:sz w:val="30"/>
          <w:szCs w:val="30"/>
          <w:highlight w:val="none"/>
          <w:lang w:eastAsia="zh-CN"/>
        </w:rPr>
        <w:t>“</w:t>
      </w:r>
      <w:r>
        <w:rPr>
          <w:rFonts w:hint="eastAsia" w:ascii="黑体" w:hAnsi="黑体" w:eastAsia="黑体" w:cs="黑体"/>
          <w:color w:val="auto"/>
          <w:sz w:val="30"/>
          <w:szCs w:val="30"/>
          <w:highlight w:val="none"/>
          <w:lang w:val="en-US" w:eastAsia="zh-CN"/>
        </w:rPr>
        <w:t>惠农秒贷”产品</w:t>
      </w:r>
      <w:r>
        <w:rPr>
          <w:rFonts w:hint="eastAsia" w:ascii="黑体" w:hAnsi="黑体" w:eastAsia="黑体" w:cs="黑体"/>
          <w:color w:val="auto"/>
          <w:sz w:val="30"/>
          <w:szCs w:val="30"/>
          <w:highlight w:val="none"/>
        </w:rPr>
        <w:t>，将企业能耗等融资环境效益测算所需数据嵌入贷前信贷流程，为后期环境信息披露奠定数据基础。本行将继续加强环境风险管理和信息披露工作。</w:t>
      </w:r>
    </w:p>
    <w:sectPr>
      <w:footerReference r:id="rId6" w:type="default"/>
      <w:pgSz w:w="11906" w:h="16838"/>
      <w:pgMar w:top="2154" w:right="1531" w:bottom="2098" w:left="1587" w:header="851"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78B0AC5-949B-438C-BB3E-CB5E03D8E48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ED976">
    <w:pPr>
      <w:pStyle w:val="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t>1</w:t>
    </w:r>
    <w:r>
      <w:rPr>
        <w:rFonts w:ascii="Times New Roman" w:hAnsi="Times New Roman" w:cs="Times New Roman"/>
      </w:rPr>
      <w:fldChar w:fldCharType="end"/>
    </w:r>
  </w:p>
  <w:p w14:paraId="3A99540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78A3D">
    <w:pPr>
      <w:pStyle w:val="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t>1</w:t>
    </w:r>
    <w:r>
      <w:rPr>
        <w:rFonts w:ascii="Times New Roman" w:hAnsi="Times New Roman" w:cs="Times New Roman"/>
      </w:rPr>
      <w:fldChar w:fldCharType="end"/>
    </w:r>
  </w:p>
  <w:p w14:paraId="2A45E763">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footnote>
  <w:footnote w:type="continuationSeparator" w:id="5">
    <w:p/>
  </w:footnote>
  <w:footnote w:id="0">
    <w:p w14:paraId="10BDBC59">
      <w:pPr>
        <w:pStyle w:val="12"/>
        <w:rPr>
          <w:rFonts w:ascii="Times New Roman" w:hAnsi="Times New Roman" w:eastAsia="宋体" w:cs="Times New Roman"/>
          <w:sz w:val="21"/>
          <w:szCs w:val="21"/>
        </w:rPr>
      </w:pPr>
    </w:p>
  </w:footnote>
  <w:footnote w:id="1">
    <w:p w14:paraId="342F0653">
      <w:pPr>
        <w:pStyle w:val="12"/>
      </w:pPr>
      <w:r>
        <w:rPr>
          <w:rStyle w:val="23"/>
        </w:rPr>
        <w:footnoteRef/>
      </w:r>
      <w:r>
        <w:t xml:space="preserve"> </w:t>
      </w:r>
      <w:r>
        <w:rPr>
          <w:rFonts w:hint="eastAsia"/>
          <w:sz w:val="21"/>
          <w:szCs w:val="21"/>
        </w:rPr>
        <w:t>温室气体</w:t>
      </w:r>
      <w:r>
        <w:rPr>
          <w:rFonts w:ascii="Times New Roman" w:hAnsi="Times New Roman" w:cs="Times New Roman"/>
          <w:sz w:val="21"/>
          <w:szCs w:val="21"/>
        </w:rPr>
        <w:t>包括：二氧化碳（CO</w:t>
      </w:r>
      <w:r>
        <w:rPr>
          <w:rFonts w:ascii="Times New Roman" w:hAnsi="Times New Roman" w:cs="Times New Roman"/>
          <w:sz w:val="21"/>
          <w:szCs w:val="21"/>
          <w:vertAlign w:val="subscript"/>
        </w:rPr>
        <w:t>2</w:t>
      </w:r>
      <w:r>
        <w:rPr>
          <w:rFonts w:ascii="Times New Roman" w:hAnsi="Times New Roman" w:cs="Times New Roman"/>
          <w:sz w:val="21"/>
          <w:szCs w:val="21"/>
        </w:rPr>
        <w:t>）、甲烷（CH</w:t>
      </w:r>
      <w:r>
        <w:rPr>
          <w:rFonts w:ascii="Times New Roman" w:hAnsi="Times New Roman" w:cs="Times New Roman"/>
          <w:sz w:val="21"/>
          <w:szCs w:val="21"/>
          <w:vertAlign w:val="subscript"/>
        </w:rPr>
        <w:t>4</w:t>
      </w:r>
      <w:r>
        <w:rPr>
          <w:rFonts w:ascii="Times New Roman" w:hAnsi="Times New Roman" w:cs="Times New Roman"/>
          <w:sz w:val="21"/>
          <w:szCs w:val="21"/>
        </w:rPr>
        <w:t>)、氧化亚氮（N</w:t>
      </w:r>
      <w:r>
        <w:rPr>
          <w:rFonts w:ascii="Times New Roman" w:hAnsi="Times New Roman" w:cs="Times New Roman"/>
          <w:sz w:val="21"/>
          <w:szCs w:val="21"/>
          <w:vertAlign w:val="subscript"/>
        </w:rPr>
        <w:t>2</w:t>
      </w:r>
      <w:r>
        <w:rPr>
          <w:rFonts w:ascii="Times New Roman" w:hAnsi="Times New Roman" w:cs="Times New Roman"/>
          <w:sz w:val="21"/>
          <w:szCs w:val="21"/>
        </w:rPr>
        <w:t>O）、氢氟碳化物（HFCs）、全氟化碳（PFCs）、六氟化硫（SF</w:t>
      </w:r>
      <w:r>
        <w:rPr>
          <w:rFonts w:ascii="Times New Roman" w:hAnsi="Times New Roman" w:cs="Times New Roman"/>
          <w:sz w:val="21"/>
          <w:szCs w:val="21"/>
          <w:vertAlign w:val="subscript"/>
        </w:rPr>
        <w:t>6</w:t>
      </w:r>
      <w:r>
        <w:rPr>
          <w:rFonts w:ascii="Times New Roman" w:hAnsi="Times New Roman" w:cs="Times New Roman"/>
          <w:sz w:val="21"/>
          <w:szCs w:val="21"/>
        </w:rPr>
        <w:t>)、三氟化氮（NF</w:t>
      </w:r>
      <w:r>
        <w:rPr>
          <w:rFonts w:ascii="Times New Roman" w:hAnsi="Times New Roman" w:cs="Times New Roman"/>
          <w:sz w:val="21"/>
          <w:szCs w:val="21"/>
          <w:vertAlign w:val="subscript"/>
        </w:rPr>
        <w:t>3</w:t>
      </w:r>
      <w:r>
        <w:rPr>
          <w:rFonts w:ascii="Times New Roman" w:hAnsi="Times New Roman" w:cs="Times New Roman"/>
          <w:sz w:val="21"/>
          <w:szCs w:val="21"/>
        </w:rPr>
        <w:t>)等7种《京都议定书》所规定的温室气体。</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33AAB"/>
    <w:multiLevelType w:val="multilevel"/>
    <w:tmpl w:val="11133AAB"/>
    <w:lvl w:ilvl="0" w:tentative="0">
      <w:start w:val="1"/>
      <w:numFmt w:val="decimal"/>
      <w:lvlText w:val="%1."/>
      <w:lvlJc w:val="left"/>
      <w:pPr>
        <w:ind w:left="962" w:hanging="36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footnotePr>
    <w:footnote w:id="4"/>
    <w:footnote w:id="5"/>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DM0YmMxOWJiYWQyNDU4MGIzYWRmYTA0ZmI5NDcifQ=="/>
  </w:docVars>
  <w:rsids>
    <w:rsidRoot w:val="00000000"/>
    <w:rsid w:val="036150F4"/>
    <w:rsid w:val="05844A91"/>
    <w:rsid w:val="0822060B"/>
    <w:rsid w:val="0DC402F5"/>
    <w:rsid w:val="103E3CA8"/>
    <w:rsid w:val="15B33964"/>
    <w:rsid w:val="1AF75639"/>
    <w:rsid w:val="1B9B7E13"/>
    <w:rsid w:val="1F8C3F57"/>
    <w:rsid w:val="2A981064"/>
    <w:rsid w:val="32F90845"/>
    <w:rsid w:val="343C5323"/>
    <w:rsid w:val="349E2E5F"/>
    <w:rsid w:val="36500FCB"/>
    <w:rsid w:val="3910338B"/>
    <w:rsid w:val="40754A75"/>
    <w:rsid w:val="419E5E6B"/>
    <w:rsid w:val="45E926EE"/>
    <w:rsid w:val="494754EB"/>
    <w:rsid w:val="4DE510A2"/>
    <w:rsid w:val="51227AC1"/>
    <w:rsid w:val="52DE0004"/>
    <w:rsid w:val="52F42802"/>
    <w:rsid w:val="559D0F8C"/>
    <w:rsid w:val="56F50876"/>
    <w:rsid w:val="619C2D5F"/>
    <w:rsid w:val="6383194F"/>
    <w:rsid w:val="65E10917"/>
    <w:rsid w:val="67EA2721"/>
    <w:rsid w:val="6CB967E1"/>
    <w:rsid w:val="784E1A96"/>
    <w:rsid w:val="78FE38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iPriority="0" w:name="footnote text"/>
    <w:lsdException w:qFormat="1" w:uiPriority="99"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qFormat="1" w:uiPriority="99"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Cambria" w:hAnsi="Cambria" w:eastAsia="宋体" w:cs="黑体"/>
      <w:b/>
      <w:bCs/>
      <w:sz w:val="32"/>
      <w:szCs w:val="32"/>
    </w:rPr>
  </w:style>
  <w:style w:type="paragraph" w:styleId="4">
    <w:name w:val="heading 3"/>
    <w:basedOn w:val="1"/>
    <w:next w:val="1"/>
    <w:link w:val="42"/>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8"/>
    <w:semiHidden/>
    <w:unhideWhenUsed/>
    <w:qFormat/>
    <w:uiPriority w:val="99"/>
    <w:pPr>
      <w:jc w:val="left"/>
    </w:pPr>
  </w:style>
  <w:style w:type="paragraph" w:styleId="6">
    <w:name w:val="Body Text Indent"/>
    <w:basedOn w:val="1"/>
    <w:link w:val="34"/>
    <w:semiHidden/>
    <w:unhideWhenUsed/>
    <w:qFormat/>
    <w:uiPriority w:val="99"/>
    <w:pPr>
      <w:spacing w:after="120"/>
      <w:ind w:left="420" w:leftChars="200"/>
    </w:pPr>
  </w:style>
  <w:style w:type="paragraph" w:styleId="7">
    <w:name w:val="toc 3"/>
    <w:basedOn w:val="1"/>
    <w:next w:val="1"/>
    <w:semiHidden/>
    <w:unhideWhenUsed/>
    <w:qFormat/>
    <w:uiPriority w:val="39"/>
    <w:pPr>
      <w:ind w:left="840" w:leftChars="400"/>
    </w:pPr>
  </w:style>
  <w:style w:type="paragraph" w:styleId="8">
    <w:name w:val="Balloon Text"/>
    <w:basedOn w:val="1"/>
    <w:link w:val="33"/>
    <w:semiHidden/>
    <w:unhideWhenUsed/>
    <w:qFormat/>
    <w:uiPriority w:val="99"/>
    <w:rPr>
      <w:sz w:val="18"/>
      <w:szCs w:val="18"/>
    </w:rPr>
  </w:style>
  <w:style w:type="paragraph" w:styleId="9">
    <w:name w:val="footer"/>
    <w:basedOn w:val="1"/>
    <w:link w:val="37"/>
    <w:unhideWhenUsed/>
    <w:qFormat/>
    <w:uiPriority w:val="99"/>
    <w:pPr>
      <w:tabs>
        <w:tab w:val="center" w:pos="4153"/>
        <w:tab w:val="right" w:pos="8306"/>
      </w:tabs>
      <w:snapToGrid w:val="0"/>
      <w:jc w:val="left"/>
    </w:pPr>
    <w:rPr>
      <w:sz w:val="18"/>
      <w:szCs w:val="18"/>
    </w:rPr>
  </w:style>
  <w:style w:type="paragraph" w:styleId="10">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footnote text"/>
    <w:basedOn w:val="1"/>
    <w:link w:val="40"/>
    <w:semiHidden/>
    <w:unhideWhenUsed/>
    <w:qFormat/>
    <w:uiPriority w:val="0"/>
    <w:pPr>
      <w:snapToGrid w:val="0"/>
      <w:jc w:val="left"/>
    </w:pPr>
    <w:rPr>
      <w:rFonts w:ascii="Calibri" w:hAnsi="Calibri" w:eastAsia="宋体" w:cs="黑体"/>
      <w:sz w:val="18"/>
      <w:szCs w:val="18"/>
    </w:rPr>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5"/>
    <w:next w:val="5"/>
    <w:link w:val="39"/>
    <w:semiHidden/>
    <w:unhideWhenUsed/>
    <w:qFormat/>
    <w:uiPriority w:val="99"/>
    <w:rPr>
      <w:b/>
      <w:bCs/>
    </w:rPr>
  </w:style>
  <w:style w:type="paragraph" w:styleId="16">
    <w:name w:val="Body Text First Indent 2"/>
    <w:basedOn w:val="6"/>
    <w:link w:val="35"/>
    <w:qFormat/>
    <w:uiPriority w:val="0"/>
    <w:pPr>
      <w:spacing w:after="0" w:line="560" w:lineRule="exact"/>
      <w:ind w:left="0" w:leftChars="0" w:firstLine="420" w:firstLineChars="200"/>
    </w:pPr>
    <w:rPr>
      <w:rFonts w:ascii="Calibri" w:hAnsi="Calibri" w:eastAsia="仿宋_GB2312" w:cs="黑体"/>
      <w:sz w:val="32"/>
    </w:rPr>
  </w:style>
  <w:style w:type="table" w:styleId="18">
    <w:name w:val="Table Grid"/>
    <w:basedOn w:val="17"/>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Hyperlink"/>
    <w:basedOn w:val="19"/>
    <w:unhideWhenUsed/>
    <w:qFormat/>
    <w:uiPriority w:val="99"/>
    <w:rPr>
      <w:color w:val="0000FF"/>
      <w:u w:val="single"/>
    </w:rPr>
  </w:style>
  <w:style w:type="character" w:styleId="22">
    <w:name w:val="annotation reference"/>
    <w:basedOn w:val="19"/>
    <w:semiHidden/>
    <w:unhideWhenUsed/>
    <w:qFormat/>
    <w:uiPriority w:val="99"/>
    <w:rPr>
      <w:sz w:val="21"/>
      <w:szCs w:val="21"/>
    </w:rPr>
  </w:style>
  <w:style w:type="character" w:styleId="23">
    <w:name w:val="footnote reference"/>
    <w:basedOn w:val="19"/>
    <w:semiHidden/>
    <w:unhideWhenUsed/>
    <w:qFormat/>
    <w:uiPriority w:val="0"/>
    <w:rPr>
      <w:vertAlign w:val="superscript"/>
    </w:rPr>
  </w:style>
  <w:style w:type="paragraph" w:customStyle="1" w:styleId="24">
    <w:name w:val="正文标题（一）"/>
    <w:basedOn w:val="1"/>
    <w:next w:val="1"/>
    <w:qFormat/>
    <w:uiPriority w:val="0"/>
    <w:pPr>
      <w:ind w:firstLine="723" w:firstLineChars="200"/>
      <w:outlineLvl w:val="1"/>
    </w:pPr>
    <w:rPr>
      <w:rFonts w:ascii="宋体" w:hAnsi="宋体" w:eastAsia="楷体" w:cs="Times New Roman"/>
      <w:b/>
      <w:kern w:val="0"/>
      <w:sz w:val="20"/>
      <w:szCs w:val="20"/>
    </w:rPr>
  </w:style>
  <w:style w:type="paragraph" w:customStyle="1" w:styleId="25">
    <w:name w:val="5.1仿宋"/>
    <w:basedOn w:val="1"/>
    <w:qFormat/>
    <w:uiPriority w:val="0"/>
    <w:pPr>
      <w:spacing w:line="560" w:lineRule="exact"/>
      <w:ind w:firstLine="720" w:firstLineChars="200"/>
    </w:pPr>
    <w:rPr>
      <w:rFonts w:ascii="仿宋" w:hAnsi="仿宋" w:eastAsia="仿宋" w:cs="Times New Roman"/>
      <w:kern w:val="0"/>
      <w:sz w:val="32"/>
      <w:szCs w:val="22"/>
    </w:rPr>
  </w:style>
  <w:style w:type="paragraph" w:customStyle="1" w:styleId="26">
    <w:name w:val="1标题方正小标宋体"/>
    <w:basedOn w:val="1"/>
    <w:next w:val="25"/>
    <w:qFormat/>
    <w:uiPriority w:val="0"/>
    <w:pPr>
      <w:spacing w:line="580" w:lineRule="exact"/>
      <w:jc w:val="center"/>
    </w:pPr>
    <w:rPr>
      <w:rFonts w:ascii="Calibri" w:hAnsi="Calibri" w:eastAsia="微软雅黑"/>
      <w:sz w:val="36"/>
    </w:rPr>
  </w:style>
  <w:style w:type="paragraph" w:customStyle="1" w:styleId="27">
    <w:name w:val="List Paragraph"/>
    <w:basedOn w:val="1"/>
    <w:qFormat/>
    <w:uiPriority w:val="99"/>
    <w:pPr>
      <w:ind w:firstLine="420" w:firstLineChars="200"/>
    </w:pPr>
  </w:style>
  <w:style w:type="paragraph" w:customStyle="1" w:styleId="28">
    <w:name w:val="Char Char Char Char Char Char Char Char Char Char"/>
    <w:basedOn w:val="1"/>
    <w:qFormat/>
    <w:uiPriority w:val="0"/>
    <w:pPr>
      <w:widowControl/>
      <w:spacing w:after="160" w:line="240" w:lineRule="exact"/>
      <w:jc w:val="left"/>
    </w:pPr>
    <w:rPr>
      <w:rFonts w:ascii="Times New Roman" w:hAnsi="Times New Roman" w:eastAsia="Arial Unicode MS" w:cs="Times New Roman"/>
      <w:kern w:val="0"/>
      <w:sz w:val="28"/>
      <w:szCs w:val="24"/>
      <w:lang w:eastAsia="en-US"/>
    </w:rPr>
  </w:style>
  <w:style w:type="paragraph" w:customStyle="1" w:styleId="29">
    <w:name w:val="TOC Heading"/>
    <w:basedOn w:val="2"/>
    <w:next w:val="1"/>
    <w:semiHidden/>
    <w:unhideWhenUsed/>
    <w:qFormat/>
    <w:uiPriority w:val="39"/>
    <w:pPr>
      <w:widowControl/>
      <w:spacing w:before="480" w:after="0" w:line="276" w:lineRule="auto"/>
      <w:jc w:val="left"/>
      <w:outlineLvl w:val="9"/>
    </w:pPr>
    <w:rPr>
      <w:rFonts w:ascii="Cambria" w:hAnsi="Cambria" w:eastAsia="宋体" w:cs="黑体"/>
      <w:color w:val="365F90"/>
      <w:kern w:val="0"/>
      <w:sz w:val="28"/>
      <w:szCs w:val="28"/>
    </w:rPr>
  </w:style>
  <w:style w:type="paragraph" w:customStyle="1" w:styleId="30">
    <w:name w:val="段"/>
    <w:link w:val="41"/>
    <w:qFormat/>
    <w:uiPriority w:val="0"/>
    <w:pPr>
      <w:autoSpaceDE w:val="0"/>
      <w:autoSpaceDN w:val="0"/>
      <w:ind w:firstLine="200" w:firstLineChars="200"/>
      <w:jc w:val="both"/>
    </w:pPr>
    <w:rPr>
      <w:rFonts w:ascii="宋体" w:hAnsi="宋体" w:eastAsia="宋体" w:cs="Times New Roman"/>
      <w:lang w:val="en-US" w:eastAsia="zh-CN" w:bidi="ar-SA"/>
    </w:rPr>
  </w:style>
  <w:style w:type="character" w:customStyle="1" w:styleId="31">
    <w:name w:val="标题 1 Char"/>
    <w:basedOn w:val="19"/>
    <w:link w:val="2"/>
    <w:qFormat/>
    <w:uiPriority w:val="9"/>
    <w:rPr>
      <w:b/>
      <w:bCs/>
      <w:kern w:val="44"/>
      <w:sz w:val="44"/>
      <w:szCs w:val="44"/>
    </w:rPr>
  </w:style>
  <w:style w:type="character" w:customStyle="1" w:styleId="32">
    <w:name w:val="标题 2 Char"/>
    <w:basedOn w:val="19"/>
    <w:link w:val="3"/>
    <w:qFormat/>
    <w:uiPriority w:val="9"/>
    <w:rPr>
      <w:rFonts w:ascii="Cambria" w:hAnsi="Cambria" w:eastAsia="宋体" w:cs="黑体"/>
      <w:b/>
      <w:bCs/>
      <w:sz w:val="32"/>
      <w:szCs w:val="32"/>
    </w:rPr>
  </w:style>
  <w:style w:type="character" w:customStyle="1" w:styleId="33">
    <w:name w:val="批注框文本 Char"/>
    <w:basedOn w:val="19"/>
    <w:link w:val="8"/>
    <w:semiHidden/>
    <w:qFormat/>
    <w:uiPriority w:val="99"/>
    <w:rPr>
      <w:sz w:val="18"/>
      <w:szCs w:val="18"/>
    </w:rPr>
  </w:style>
  <w:style w:type="character" w:customStyle="1" w:styleId="34">
    <w:name w:val="正文文本缩进 Char"/>
    <w:basedOn w:val="19"/>
    <w:link w:val="6"/>
    <w:semiHidden/>
    <w:qFormat/>
    <w:uiPriority w:val="99"/>
  </w:style>
  <w:style w:type="character" w:customStyle="1" w:styleId="35">
    <w:name w:val="正文首行缩进 2 Char"/>
    <w:basedOn w:val="34"/>
    <w:link w:val="16"/>
    <w:qFormat/>
    <w:uiPriority w:val="0"/>
    <w:rPr>
      <w:rFonts w:ascii="Calibri" w:hAnsi="Calibri" w:eastAsia="仿宋_GB2312" w:cs="黑体"/>
      <w:sz w:val="32"/>
    </w:rPr>
  </w:style>
  <w:style w:type="character" w:customStyle="1" w:styleId="36">
    <w:name w:val="页眉 Char"/>
    <w:basedOn w:val="19"/>
    <w:link w:val="10"/>
    <w:qFormat/>
    <w:uiPriority w:val="99"/>
    <w:rPr>
      <w:sz w:val="18"/>
      <w:szCs w:val="18"/>
    </w:rPr>
  </w:style>
  <w:style w:type="character" w:customStyle="1" w:styleId="37">
    <w:name w:val="页脚 Char"/>
    <w:basedOn w:val="19"/>
    <w:link w:val="9"/>
    <w:qFormat/>
    <w:uiPriority w:val="99"/>
    <w:rPr>
      <w:sz w:val="18"/>
      <w:szCs w:val="18"/>
    </w:rPr>
  </w:style>
  <w:style w:type="character" w:customStyle="1" w:styleId="38">
    <w:name w:val="批注文字 Char"/>
    <w:basedOn w:val="19"/>
    <w:link w:val="5"/>
    <w:semiHidden/>
    <w:qFormat/>
    <w:uiPriority w:val="99"/>
  </w:style>
  <w:style w:type="character" w:customStyle="1" w:styleId="39">
    <w:name w:val="批注主题 Char"/>
    <w:basedOn w:val="38"/>
    <w:link w:val="15"/>
    <w:semiHidden/>
    <w:qFormat/>
    <w:uiPriority w:val="99"/>
    <w:rPr>
      <w:b/>
      <w:bCs/>
    </w:rPr>
  </w:style>
  <w:style w:type="character" w:customStyle="1" w:styleId="40">
    <w:name w:val="脚注文本 Char"/>
    <w:basedOn w:val="19"/>
    <w:link w:val="12"/>
    <w:semiHidden/>
    <w:qFormat/>
    <w:uiPriority w:val="0"/>
    <w:rPr>
      <w:rFonts w:ascii="Calibri" w:hAnsi="Calibri" w:eastAsia="宋体" w:cs="黑体"/>
      <w:sz w:val="18"/>
      <w:szCs w:val="18"/>
    </w:rPr>
  </w:style>
  <w:style w:type="character" w:customStyle="1" w:styleId="41">
    <w:name w:val="段 Char"/>
    <w:link w:val="30"/>
    <w:qFormat/>
    <w:locked/>
    <w:uiPriority w:val="0"/>
    <w:rPr>
      <w:rFonts w:ascii="宋体" w:hAnsi="宋体"/>
    </w:rPr>
  </w:style>
  <w:style w:type="character" w:customStyle="1" w:styleId="42">
    <w:name w:val="标题 3 Char"/>
    <w:basedOn w:val="19"/>
    <w:link w:val="4"/>
    <w:qFormat/>
    <w:uiPriority w:val="0"/>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10684</Words>
  <Characters>11175</Characters>
  <Lines>131</Lines>
  <Paragraphs>36</Paragraphs>
  <TotalTime>38</TotalTime>
  <ScaleCrop>false</ScaleCrop>
  <LinksUpToDate>false</LinksUpToDate>
  <CharactersWithSpaces>11243</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2021-11-26T03:41:00Z</dcterms:created>
  <dc:creator>马雅利</dc:creator>
  <cp:lastModifiedBy>刘兰芳</cp:lastModifiedBy>
  <cp:lastPrinted>2024-03-27T01:06:00Z</cp:lastPrinted>
  <dcterms:modified xsi:type="dcterms:W3CDTF">2026-03-25T11:54:42Z</dcterms:modified>
  <dc:title>株洲农村商业银行股份有限公司</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89A136647BE84DBFB18DA12B28AB7B59_13</vt:lpwstr>
  </property>
  <property fmtid="{D5CDD505-2E9C-101B-9397-08002B2CF9AE}" pid="4" name="KSOTemplateDocerSaveRecord">
    <vt:lpwstr>eyJoZGlkIjoiZGNiNTQxMTdlZDYwOTc3YTYzZDU4ODE3NDYyZDliNjQiLCJ1c2VySWQiOiIxMzkzODIzMiJ9</vt:lpwstr>
  </property>
</Properties>
</file>