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579755</wp:posOffset>
            </wp:positionH>
            <wp:positionV relativeFrom="paragraph">
              <wp:posOffset>93345</wp:posOffset>
            </wp:positionV>
            <wp:extent cx="4319905" cy="675640"/>
            <wp:effectExtent l="0" t="0" r="4445" b="10160"/>
            <wp:wrapTopAndBottom/>
            <wp:docPr id="1" name="图片 1" descr="农商行标志（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农商行标志（透明底）"/>
                    <pic:cNvPicPr>
                      <a:picLocks noChangeAspect="1"/>
                    </pic:cNvPicPr>
                  </pic:nvPicPr>
                  <pic:blipFill>
                    <a:blip r:embed="rId5"/>
                    <a:stretch>
                      <a:fillRect/>
                    </a:stretch>
                  </pic:blipFill>
                  <pic:spPr>
                    <a:xfrm>
                      <a:off x="0" y="0"/>
                      <a:ext cx="4319905" cy="675640"/>
                    </a:xfrm>
                    <a:prstGeom prst="rect">
                      <a:avLst/>
                    </a:prstGeom>
                  </pic:spPr>
                </pic:pic>
              </a:graphicData>
            </a:graphic>
          </wp:anchor>
        </w:drawing>
      </w: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pStyle w:val="2"/>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keepNext w:val="0"/>
        <w:keepLines w:val="0"/>
        <w:pageBreakBefore w:val="0"/>
        <w:kinsoku/>
        <w:wordWrap/>
        <w:overflowPunct/>
        <w:topLinePunct w:val="0"/>
        <w:bidi w:val="0"/>
        <w:spacing w:line="240" w:lineRule="auto"/>
        <w:jc w:val="left"/>
        <w:rPr>
          <w:rFonts w:ascii="Arial" w:hAnsi="Arial" w:eastAsia="Arial" w:cs="Arial"/>
          <w:sz w:val="21"/>
          <w:szCs w:val="21"/>
        </w:rPr>
      </w:pPr>
    </w:p>
    <w:p>
      <w:pPr>
        <w:pStyle w:val="41"/>
        <w:bidi w:val="0"/>
        <w:rPr>
          <w:sz w:val="52"/>
          <w:szCs w:val="40"/>
        </w:rPr>
      </w:pPr>
      <w:r>
        <w:rPr>
          <w:rFonts w:hint="eastAsia"/>
          <w:sz w:val="52"/>
          <w:szCs w:val="40"/>
          <w:lang w:val="en-US" w:eastAsia="zh-CN"/>
        </w:rPr>
        <w:t>2023年</w:t>
      </w:r>
      <w:r>
        <w:rPr>
          <w:sz w:val="52"/>
          <w:szCs w:val="40"/>
        </w:rPr>
        <w:t>年度报告</w:t>
      </w:r>
    </w:p>
    <w:p>
      <w:pPr>
        <w:pStyle w:val="41"/>
        <w:bidi w:val="0"/>
        <w:rPr>
          <w:rFonts w:hint="default"/>
          <w:sz w:val="52"/>
          <w:szCs w:val="40"/>
          <w:lang w:val="en-US" w:eastAsia="zh-CN"/>
        </w:rPr>
      </w:pPr>
    </w:p>
    <w:p>
      <w:pPr>
        <w:pStyle w:val="41"/>
        <w:bidi w:val="0"/>
        <w:rPr>
          <w:rFonts w:hint="eastAsia"/>
          <w:sz w:val="52"/>
          <w:szCs w:val="40"/>
          <w:lang w:val="en-US" w:eastAsia="zh-CN"/>
        </w:rPr>
        <w:sectPr>
          <w:footerReference r:id="rId3" w:type="default"/>
          <w:pgSz w:w="11905" w:h="16839"/>
          <w:pgMar w:top="2154" w:right="1531" w:bottom="2154" w:left="1531" w:header="850" w:footer="992" w:gutter="0"/>
          <w:pgBorders>
            <w:top w:val="none" w:sz="0" w:space="0"/>
            <w:left w:val="none" w:sz="0" w:space="0"/>
            <w:bottom w:val="none" w:sz="0" w:space="0"/>
            <w:right w:val="none" w:sz="0" w:space="0"/>
          </w:pgBorders>
          <w:cols w:space="720" w:num="1"/>
        </w:sectPr>
      </w:pPr>
    </w:p>
    <w:p>
      <w:pPr>
        <w:pStyle w:val="41"/>
        <w:bidi w:val="0"/>
        <w:rPr>
          <w:rFonts w:hint="eastAsia"/>
        </w:rPr>
      </w:pPr>
      <w:bookmarkStart w:id="0" w:name="_Toc826"/>
      <w:bookmarkStart w:id="1" w:name="_Toc28690"/>
      <w:r>
        <w:rPr>
          <w:rFonts w:hint="eastAsia"/>
        </w:rPr>
        <w:t>重要提示</w:t>
      </w:r>
    </w:p>
    <w:bookmarkEnd w:id="0"/>
    <w:bookmarkEnd w:id="1"/>
    <w:p>
      <w:pPr>
        <w:pStyle w:val="13"/>
        <w:ind w:firstLine="640"/>
        <w:rPr>
          <w:rFonts w:hint="eastAsia"/>
          <w:color w:val="auto"/>
        </w:rPr>
      </w:pPr>
    </w:p>
    <w:p>
      <w:pPr>
        <w:pStyle w:val="13"/>
        <w:ind w:firstLine="640"/>
        <w:rPr>
          <w:rFonts w:hint="eastAsia"/>
          <w:color w:val="auto"/>
        </w:rPr>
      </w:pPr>
      <w:r>
        <w:rPr>
          <w:rFonts w:hint="eastAsia"/>
          <w:color w:val="auto"/>
        </w:rPr>
        <w:t>本</w:t>
      </w:r>
      <w:r>
        <w:rPr>
          <w:rFonts w:hint="eastAsia"/>
          <w:color w:val="auto"/>
          <w:lang w:val="en-US" w:eastAsia="zh-CN"/>
        </w:rPr>
        <w:t>行</w:t>
      </w:r>
      <w:r>
        <w:rPr>
          <w:rFonts w:hint="eastAsia"/>
          <w:color w:val="auto"/>
        </w:rPr>
        <w:t>董事、监事和高级管理层人员保证本报告所载资料不存在任何虚假记载、误导性陈述或者重大遗漏，并对其内容的真实性、准确性和完整性承担连带责任。</w:t>
      </w:r>
    </w:p>
    <w:p>
      <w:pPr>
        <w:pStyle w:val="13"/>
        <w:ind w:firstLine="640"/>
        <w:rPr>
          <w:rFonts w:hint="eastAsia"/>
          <w:color w:val="auto"/>
        </w:rPr>
      </w:pPr>
      <w:r>
        <w:rPr>
          <w:rFonts w:hint="eastAsia"/>
          <w:color w:val="auto"/>
          <w:lang w:val="en-US" w:eastAsia="zh-CN"/>
        </w:rPr>
        <w:t>本行2023</w:t>
      </w:r>
      <w:r>
        <w:rPr>
          <w:rFonts w:hint="eastAsia"/>
          <w:color w:val="auto"/>
        </w:rPr>
        <w:t>年度财务报告已经湖南友谊联合会计师事务所</w:t>
      </w:r>
      <w:r>
        <w:rPr>
          <w:rFonts w:hint="eastAsia"/>
          <w:color w:val="auto"/>
          <w:lang w:eastAsia="zh-CN"/>
        </w:rPr>
        <w:t>（普通合伙）</w:t>
      </w:r>
      <w:r>
        <w:rPr>
          <w:rFonts w:hint="eastAsia"/>
          <w:color w:val="auto"/>
        </w:rPr>
        <w:t>审计，并出具标准无保留意见的审计报告。</w:t>
      </w:r>
    </w:p>
    <w:p>
      <w:pPr>
        <w:pStyle w:val="13"/>
        <w:ind w:firstLine="640"/>
        <w:rPr>
          <w:rFonts w:hint="eastAsia"/>
          <w:color w:val="auto"/>
        </w:rPr>
      </w:pPr>
      <w:r>
        <w:rPr>
          <w:rFonts w:hint="eastAsia"/>
          <w:color w:val="auto"/>
          <w:lang w:val="en-US" w:eastAsia="zh-CN"/>
        </w:rPr>
        <w:t>本行主要负责人、分管财务负责人</w:t>
      </w:r>
      <w:r>
        <w:rPr>
          <w:rFonts w:hint="eastAsia"/>
          <w:color w:val="auto"/>
        </w:rPr>
        <w:t>保证年度报告中财务报告的真实完整。</w:t>
      </w:r>
    </w:p>
    <w:p>
      <w:pPr>
        <w:pStyle w:val="13"/>
        <w:ind w:firstLine="640"/>
        <w:jc w:val="right"/>
        <w:rPr>
          <w:rFonts w:hint="eastAsia"/>
          <w:color w:val="auto"/>
        </w:rPr>
      </w:pPr>
    </w:p>
    <w:p>
      <w:pPr>
        <w:pStyle w:val="13"/>
        <w:ind w:firstLine="640"/>
        <w:jc w:val="right"/>
        <w:rPr>
          <w:rFonts w:hint="eastAsia"/>
          <w:color w:val="auto"/>
        </w:rPr>
      </w:pPr>
    </w:p>
    <w:p>
      <w:pPr>
        <w:pStyle w:val="13"/>
        <w:ind w:left="0" w:leftChars="0" w:firstLine="0" w:firstLineChars="0"/>
        <w:jc w:val="right"/>
        <w:rPr>
          <w:rFonts w:hint="default" w:eastAsia="仿宋"/>
          <w:b/>
          <w:bCs/>
          <w:color w:val="auto"/>
          <w:lang w:val="en-US" w:eastAsia="zh-CN"/>
        </w:rPr>
      </w:pPr>
      <w:r>
        <w:rPr>
          <w:rFonts w:hint="eastAsia"/>
          <w:color w:val="auto"/>
        </w:rPr>
        <w:t>株洲农村商业银行股份有限公司董事会</w:t>
      </w:r>
      <w:r>
        <w:rPr>
          <w:rFonts w:hint="eastAsia"/>
          <w:color w:val="auto"/>
          <w:lang w:eastAsia="zh-CN"/>
        </w:rPr>
        <w:t>、</w:t>
      </w:r>
      <w:r>
        <w:rPr>
          <w:rFonts w:hint="eastAsia"/>
          <w:color w:val="auto"/>
          <w:lang w:val="en-US" w:eastAsia="zh-CN"/>
        </w:rPr>
        <w:t>监事会、高级管理层</w:t>
      </w:r>
    </w:p>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outlineLvl w:val="0"/>
        <w:rPr>
          <w:rFonts w:hint="eastAsia"/>
          <w:b/>
          <w:bCs/>
        </w:rPr>
      </w:pPr>
      <w:r>
        <w:rPr>
          <w:rFonts w:hint="eastAsia"/>
          <w:b/>
          <w:bCs/>
          <w:color w:val="auto"/>
        </w:rPr>
        <w:br w:type="page"/>
      </w:r>
      <w:bookmarkStart w:id="2" w:name="_Toc10394"/>
      <w:bookmarkStart w:id="3" w:name="_Toc14859"/>
      <w:r>
        <w:rPr>
          <w:rFonts w:hint="eastAsia"/>
          <w:b/>
          <w:bCs/>
        </w:rPr>
        <w:t>第一部分</w:t>
      </w:r>
      <w:r>
        <w:rPr>
          <w:rFonts w:hint="eastAsia"/>
          <w:b/>
          <w:bCs/>
          <w:lang w:val="en-US" w:eastAsia="zh-CN"/>
        </w:rPr>
        <w:t xml:space="preserve">  </w:t>
      </w:r>
      <w:r>
        <w:rPr>
          <w:rFonts w:hint="eastAsia"/>
          <w:b/>
          <w:bCs/>
        </w:rPr>
        <w:t>公司基本情况简介</w:t>
      </w:r>
      <w:bookmarkEnd w:id="2"/>
      <w:bookmarkEnd w:id="3"/>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4" w:name="_Toc7925"/>
      <w:r>
        <w:rPr>
          <w:rFonts w:hint="eastAsia" w:ascii="宋体" w:hAnsi="宋体" w:eastAsia="宋体" w:cs="宋体"/>
          <w:b/>
          <w:bCs/>
          <w:color w:val="auto"/>
          <w:sz w:val="21"/>
          <w:szCs w:val="21"/>
        </w:rPr>
        <w:t>法定名称</w:t>
      </w:r>
      <w:bookmarkEnd w:id="4"/>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法定中文名称：株洲农村商业银行股份有限公司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法定中文简称：株洲农商银行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法定英文名称：Zhuzhou Rural Commercial Bank</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CO.,L</w:t>
      </w:r>
      <w:r>
        <w:rPr>
          <w:rFonts w:hint="eastAsia" w:ascii="宋体" w:hAnsi="宋体" w:eastAsia="宋体" w:cs="宋体"/>
          <w:color w:val="auto"/>
          <w:sz w:val="21"/>
          <w:szCs w:val="21"/>
          <w:lang w:val="en-US" w:eastAsia="zh-CN"/>
        </w:rPr>
        <w:t>td</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法定英文简称：Zhuzhou Rural Commercial Bank</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英文缩写：ZRCB</w:t>
      </w: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5" w:name="_Toc9958"/>
      <w:r>
        <w:rPr>
          <w:rFonts w:hint="eastAsia" w:ascii="宋体" w:hAnsi="宋体" w:eastAsia="宋体" w:cs="宋体"/>
          <w:b/>
          <w:bCs/>
          <w:color w:val="auto"/>
          <w:sz w:val="21"/>
          <w:szCs w:val="21"/>
        </w:rPr>
        <w:t>法定代表人</w:t>
      </w:r>
      <w:bookmarkEnd w:id="5"/>
    </w:p>
    <w:p>
      <w:pPr>
        <w:pStyle w:val="2"/>
        <w:ind w:firstLine="420" w:firstLineChars="200"/>
        <w:rPr>
          <w:rFonts w:hint="default" w:eastAsia="宋体"/>
          <w:b w:val="0"/>
          <w:bCs w:val="0"/>
          <w:lang w:val="en-US" w:eastAsia="zh-CN"/>
        </w:rPr>
      </w:pPr>
      <w:r>
        <w:rPr>
          <w:rFonts w:hint="eastAsia" w:ascii="宋体" w:hAnsi="宋体" w:eastAsia="宋体" w:cs="宋体"/>
          <w:b w:val="0"/>
          <w:bCs w:val="0"/>
          <w:color w:val="auto"/>
          <w:sz w:val="21"/>
          <w:szCs w:val="21"/>
          <w:lang w:val="en-US" w:eastAsia="zh-CN"/>
        </w:rPr>
        <w:t>谢俊峰</w:t>
      </w: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6" w:name="_Toc17976"/>
      <w:r>
        <w:rPr>
          <w:rFonts w:hint="eastAsia" w:ascii="宋体" w:hAnsi="宋体" w:eastAsia="宋体" w:cs="宋体"/>
          <w:b/>
          <w:bCs/>
          <w:color w:val="auto"/>
          <w:sz w:val="21"/>
          <w:szCs w:val="21"/>
        </w:rPr>
        <w:t>董事会秘书</w:t>
      </w:r>
      <w:bookmarkEnd w:id="6"/>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陈哲祚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13973310074</w:t>
      </w: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7" w:name="_Toc20548"/>
      <w:r>
        <w:rPr>
          <w:rFonts w:hint="eastAsia" w:ascii="宋体" w:hAnsi="宋体" w:eastAsia="宋体" w:cs="宋体"/>
          <w:b/>
          <w:bCs/>
          <w:color w:val="auto"/>
          <w:sz w:val="21"/>
          <w:szCs w:val="21"/>
        </w:rPr>
        <w:t>注册资本</w:t>
      </w:r>
      <w:bookmarkEnd w:id="7"/>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88000万元</w:t>
      </w: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8" w:name="_Toc4552"/>
      <w:r>
        <w:rPr>
          <w:rFonts w:hint="eastAsia" w:ascii="宋体" w:hAnsi="宋体" w:eastAsia="宋体" w:cs="宋体"/>
          <w:b/>
          <w:bCs/>
          <w:color w:val="auto"/>
          <w:sz w:val="21"/>
          <w:szCs w:val="21"/>
        </w:rPr>
        <w:t>成立时间</w:t>
      </w:r>
      <w:bookmarkEnd w:id="8"/>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201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rPr>
        <w:t>3月28日</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9" w:name="_Toc10032"/>
      <w:r>
        <w:rPr>
          <w:rFonts w:hint="eastAsia" w:ascii="宋体" w:hAnsi="宋体" w:eastAsia="宋体" w:cs="宋体"/>
          <w:b/>
          <w:bCs/>
          <w:color w:val="auto"/>
          <w:sz w:val="21"/>
          <w:szCs w:val="21"/>
        </w:rPr>
        <w:t>六、经营范围</w:t>
      </w:r>
      <w:bookmarkEnd w:id="9"/>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吸收公众存款；发放短期、中期和长期贷款；办理国内结算；</w:t>
      </w:r>
      <w:r>
        <w:rPr>
          <w:rFonts w:hint="eastAsia" w:ascii="宋体" w:hAnsi="宋体" w:eastAsia="宋体" w:cs="宋体"/>
          <w:color w:val="auto"/>
          <w:sz w:val="21"/>
          <w:szCs w:val="21"/>
          <w:highlight w:val="none"/>
        </w:rPr>
        <w:t>办理票据</w:t>
      </w:r>
      <w:r>
        <w:rPr>
          <w:rFonts w:hint="eastAsia" w:ascii="宋体" w:hAnsi="宋体" w:eastAsia="宋体" w:cs="宋体"/>
          <w:color w:val="auto"/>
          <w:sz w:val="21"/>
          <w:szCs w:val="21"/>
        </w:rPr>
        <w:t>承兑与贴现；代理发行、代理兑付、承销政府债券；买卖政府债券、金融债券；从事同业拆借；从事借记卡业务；代理收付款项及代理保险业务；经中国银行业监督管理机构批准的其他业务。</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10" w:name="_Toc11854"/>
      <w:r>
        <w:rPr>
          <w:rFonts w:hint="eastAsia" w:ascii="宋体" w:hAnsi="宋体" w:eastAsia="宋体" w:cs="宋体"/>
          <w:b/>
          <w:bCs/>
          <w:color w:val="auto"/>
          <w:sz w:val="21"/>
          <w:szCs w:val="21"/>
        </w:rPr>
        <w:t>七、注册地址及办公地址</w:t>
      </w:r>
      <w:bookmarkEnd w:id="1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办公地址：湖南省株洲市天元区珠江北路199号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邮政编码：412007</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电话（传真）：0731-28</w:t>
      </w:r>
      <w:r>
        <w:rPr>
          <w:rFonts w:hint="eastAsia" w:ascii="宋体" w:hAnsi="宋体" w:eastAsia="宋体" w:cs="宋体"/>
          <w:color w:val="auto"/>
          <w:sz w:val="21"/>
          <w:szCs w:val="21"/>
          <w:highlight w:val="none"/>
          <w:lang w:val="en-US" w:eastAsia="zh-CN"/>
        </w:rPr>
        <w:t>284999</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11" w:name="_Toc868"/>
      <w:r>
        <w:rPr>
          <w:rFonts w:hint="eastAsia" w:ascii="宋体" w:hAnsi="宋体" w:eastAsia="宋体" w:cs="宋体"/>
          <w:b/>
          <w:bCs/>
          <w:color w:val="auto"/>
          <w:sz w:val="21"/>
          <w:szCs w:val="21"/>
        </w:rPr>
        <w:t>八、信息披露及年报备置地点</w:t>
      </w:r>
      <w:bookmarkEnd w:id="11"/>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信息披露网址：本行官网、株洲日报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年度报告备置地点：董事会办公室、总行营业部</w:t>
      </w:r>
    </w:p>
    <w:p>
      <w:pPr>
        <w:keepNext w:val="0"/>
        <w:keepLines w:val="0"/>
        <w:pageBreakBefore w:val="0"/>
        <w:widowControl w:val="0"/>
        <w:numPr>
          <w:ilvl w:val="0"/>
          <w:numId w:val="2"/>
        </w:numPr>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bookmarkStart w:id="12" w:name="_Toc17283"/>
      <w:r>
        <w:rPr>
          <w:rFonts w:hint="eastAsia" w:ascii="宋体" w:hAnsi="宋体" w:eastAsia="宋体" w:cs="宋体"/>
          <w:b/>
          <w:bCs/>
          <w:color w:val="auto"/>
          <w:sz w:val="21"/>
          <w:szCs w:val="21"/>
        </w:rPr>
        <w:t>其他相关信息</w:t>
      </w:r>
      <w:bookmarkEnd w:id="12"/>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统一社会信用代码：91430200MA</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LH0UP1C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客服及投诉电话：（0731）96518</w:t>
      </w:r>
    </w:p>
    <w:p>
      <w:pPr>
        <w:rPr>
          <w:rFonts w:hint="eastAsia" w:eastAsiaTheme="minorEastAsia"/>
          <w:lang w:eastAsia="zh-CN"/>
        </w:rPr>
      </w:pPr>
      <w:r>
        <w:rPr>
          <w:rFonts w:hint="eastAsia" w:eastAsiaTheme="minorEastAsia"/>
          <w:lang w:eastAsia="zh-CN"/>
        </w:rPr>
        <w:br w:type="page"/>
      </w:r>
    </w:p>
    <w:p>
      <w:pPr>
        <w:bidi w:val="0"/>
        <w:rPr>
          <w:rFonts w:hint="eastAsia"/>
          <w:b/>
          <w:bCs/>
          <w:color w:val="auto"/>
        </w:rPr>
      </w:pPr>
      <w:bookmarkStart w:id="13" w:name="_Toc18478"/>
      <w:bookmarkStart w:id="14" w:name="_Toc22976"/>
      <w:bookmarkStart w:id="15" w:name="_Toc32070"/>
      <w:bookmarkStart w:id="16" w:name="_Toc19827"/>
      <w:r>
        <w:rPr>
          <w:rFonts w:hint="eastAsia"/>
          <w:b/>
          <w:bCs/>
          <w:color w:val="auto"/>
        </w:rPr>
        <w:t>第二部分</w:t>
      </w:r>
      <w:r>
        <w:rPr>
          <w:rFonts w:hint="eastAsia"/>
          <w:b/>
          <w:bCs/>
          <w:color w:val="auto"/>
          <w:lang w:val="en-US" w:eastAsia="zh-CN"/>
        </w:rPr>
        <w:t xml:space="preserve">  </w:t>
      </w:r>
      <w:r>
        <w:rPr>
          <w:rFonts w:hint="eastAsia"/>
          <w:b/>
          <w:bCs/>
          <w:color w:val="auto"/>
        </w:rPr>
        <w:t>股本及主要股东</w:t>
      </w:r>
      <w:bookmarkEnd w:id="13"/>
      <w:bookmarkEnd w:id="14"/>
    </w:p>
    <w:bookmarkEnd w:id="15"/>
    <w:bookmarkEnd w:id="16"/>
    <w:p>
      <w:pPr>
        <w:ind w:firstLine="422" w:firstLineChars="200"/>
        <w:rPr>
          <w:rFonts w:hint="eastAsia"/>
          <w:b/>
          <w:bCs/>
          <w:color w:val="auto"/>
        </w:rPr>
      </w:pPr>
      <w:bookmarkStart w:id="17" w:name="_Toc2291"/>
      <w:r>
        <w:rPr>
          <w:rFonts w:hint="eastAsia"/>
          <w:b/>
          <w:bCs/>
          <w:color w:val="auto"/>
        </w:rPr>
        <w:t>一、股本结构</w:t>
      </w:r>
      <w:bookmarkEnd w:id="17"/>
    </w:p>
    <w:p>
      <w:pPr>
        <w:ind w:firstLine="420" w:firstLineChars="200"/>
        <w:rPr>
          <w:rFonts w:hint="eastAsia"/>
          <w:color w:val="auto"/>
        </w:rPr>
      </w:pPr>
      <w:r>
        <w:rPr>
          <w:rFonts w:hint="eastAsia"/>
          <w:color w:val="auto"/>
        </w:rPr>
        <w:t>报告期末，本行总股份为88000万股</w:t>
      </w:r>
      <w:r>
        <w:rPr>
          <w:rFonts w:hint="eastAsia"/>
          <w:color w:val="auto"/>
          <w:lang w:eastAsia="zh-CN"/>
        </w:rPr>
        <w:t>。</w:t>
      </w:r>
      <w:r>
        <w:rPr>
          <w:rFonts w:hint="eastAsia"/>
          <w:color w:val="auto"/>
        </w:rPr>
        <w:t>本行股权结构如下：法人股东12家，法人股合计</w:t>
      </w:r>
      <w:r>
        <w:rPr>
          <w:rFonts w:hint="eastAsia"/>
          <w:color w:val="auto"/>
          <w:lang w:val="en-US" w:eastAsia="zh-CN"/>
        </w:rPr>
        <w:t>62153</w:t>
      </w:r>
      <w:r>
        <w:rPr>
          <w:rFonts w:hint="eastAsia"/>
          <w:color w:val="auto"/>
        </w:rPr>
        <w:t>万股，占总股本的</w:t>
      </w:r>
      <w:r>
        <w:rPr>
          <w:rFonts w:hint="eastAsia"/>
          <w:color w:val="auto"/>
          <w:lang w:val="en-US" w:eastAsia="zh-CN"/>
        </w:rPr>
        <w:t>70.63</w:t>
      </w:r>
      <w:r>
        <w:rPr>
          <w:rFonts w:hint="eastAsia"/>
          <w:color w:val="auto"/>
        </w:rPr>
        <w:t>%；自然人股东</w:t>
      </w:r>
      <w:r>
        <w:rPr>
          <w:rFonts w:hint="eastAsia"/>
          <w:color w:val="auto"/>
          <w:lang w:val="en-US" w:eastAsia="zh-CN"/>
        </w:rPr>
        <w:t>1880</w:t>
      </w:r>
      <w:r>
        <w:rPr>
          <w:rFonts w:hint="eastAsia"/>
          <w:color w:val="auto"/>
        </w:rPr>
        <w:t>名，合计持股</w:t>
      </w:r>
      <w:r>
        <w:rPr>
          <w:rFonts w:hint="eastAsia"/>
          <w:color w:val="auto"/>
          <w:lang w:val="en-US" w:eastAsia="zh-CN"/>
        </w:rPr>
        <w:t>25847</w:t>
      </w:r>
      <w:r>
        <w:rPr>
          <w:rFonts w:hint="eastAsia"/>
          <w:color w:val="auto"/>
        </w:rPr>
        <w:t>万股，占比</w:t>
      </w:r>
      <w:r>
        <w:rPr>
          <w:rFonts w:hint="eastAsia"/>
          <w:color w:val="auto"/>
          <w:lang w:val="en-US" w:eastAsia="zh-CN"/>
        </w:rPr>
        <w:t>29.37</w:t>
      </w:r>
      <w:r>
        <w:rPr>
          <w:rFonts w:hint="eastAsia"/>
          <w:color w:val="auto"/>
        </w:rPr>
        <w:t>%。自然人股东中，职工股东</w:t>
      </w:r>
      <w:r>
        <w:rPr>
          <w:rFonts w:hint="eastAsia"/>
          <w:color w:val="auto"/>
          <w:lang w:val="en-US" w:eastAsia="zh-CN"/>
        </w:rPr>
        <w:t>568</w:t>
      </w:r>
      <w:r>
        <w:rPr>
          <w:rFonts w:hint="eastAsia"/>
          <w:color w:val="auto"/>
        </w:rPr>
        <w:t>名，合计持股</w:t>
      </w:r>
      <w:r>
        <w:rPr>
          <w:rFonts w:hint="eastAsia"/>
          <w:color w:val="auto"/>
          <w:lang w:val="en-US" w:eastAsia="zh-CN"/>
        </w:rPr>
        <w:t>6932.925</w:t>
      </w:r>
      <w:r>
        <w:rPr>
          <w:rFonts w:hint="eastAsia"/>
          <w:color w:val="auto"/>
        </w:rPr>
        <w:t>万股，占比</w:t>
      </w:r>
      <w:r>
        <w:rPr>
          <w:rFonts w:hint="eastAsia"/>
          <w:color w:val="auto"/>
          <w:lang w:val="en-US" w:eastAsia="zh-CN"/>
        </w:rPr>
        <w:t>7.88</w:t>
      </w:r>
      <w:r>
        <w:rPr>
          <w:rFonts w:hint="eastAsia"/>
          <w:color w:val="auto"/>
        </w:rPr>
        <w:t>%。</w:t>
      </w:r>
    </w:p>
    <w:p>
      <w:pPr>
        <w:keepNext w:val="0"/>
        <w:keepLines w:val="0"/>
        <w:pageBreakBefore w:val="0"/>
        <w:kinsoku/>
        <w:wordWrap/>
        <w:overflowPunct/>
        <w:topLinePunct w:val="0"/>
        <w:bidi w:val="0"/>
        <w:spacing w:line="25" w:lineRule="exact"/>
        <w:jc w:val="left"/>
        <w:rPr>
          <w:color w:val="auto"/>
        </w:rPr>
      </w:pPr>
    </w:p>
    <w:p>
      <w:pPr>
        <w:ind w:firstLine="422" w:firstLineChars="200"/>
        <w:rPr>
          <w:rFonts w:hint="eastAsia"/>
          <w:b/>
          <w:bCs/>
          <w:color w:val="auto"/>
        </w:rPr>
      </w:pPr>
      <w:bookmarkStart w:id="18" w:name="_Toc7013"/>
      <w:r>
        <w:rPr>
          <w:rFonts w:hint="eastAsia"/>
          <w:b/>
          <w:bCs/>
          <w:color w:val="auto"/>
        </w:rPr>
        <w:t>二、主要股东</w:t>
      </w:r>
      <w:bookmarkEnd w:id="18"/>
    </w:p>
    <w:p>
      <w:pPr>
        <w:ind w:firstLine="422" w:firstLineChars="200"/>
        <w:rPr>
          <w:rFonts w:hint="eastAsia"/>
          <w:b/>
          <w:bCs/>
          <w:color w:val="auto"/>
        </w:rPr>
      </w:pPr>
      <w:r>
        <w:rPr>
          <w:rFonts w:hint="eastAsia"/>
          <w:b/>
          <w:bCs/>
          <w:color w:val="auto"/>
        </w:rPr>
        <w:t>（一）前十大</w:t>
      </w:r>
      <w:r>
        <w:rPr>
          <w:rFonts w:hint="eastAsia"/>
          <w:b/>
          <w:bCs/>
          <w:color w:val="auto"/>
          <w:lang w:val="en-US" w:eastAsia="zh-CN"/>
        </w:rPr>
        <w:t>股东</w:t>
      </w:r>
      <w:r>
        <w:rPr>
          <w:rFonts w:hint="eastAsia"/>
          <w:b/>
          <w:bCs/>
          <w:color w:val="auto"/>
        </w:rPr>
        <w:t>持股情况</w:t>
      </w:r>
    </w:p>
    <w:p>
      <w:pPr>
        <w:ind w:firstLine="420" w:firstLineChars="200"/>
        <w:rPr>
          <w:rFonts w:hint="eastAsia"/>
          <w:color w:val="auto"/>
        </w:rPr>
      </w:pPr>
      <w:r>
        <w:rPr>
          <w:rFonts w:hint="eastAsia"/>
          <w:color w:val="auto"/>
        </w:rPr>
        <w:t>报告期末，</w:t>
      </w:r>
      <w:r>
        <w:rPr>
          <w:rFonts w:hint="eastAsia"/>
          <w:color w:val="auto"/>
          <w:lang w:eastAsia="zh-CN"/>
        </w:rPr>
        <w:t>本行</w:t>
      </w:r>
      <w:r>
        <w:rPr>
          <w:rFonts w:hint="eastAsia"/>
          <w:color w:val="auto"/>
        </w:rPr>
        <w:t>最大十户股东持股</w:t>
      </w:r>
      <w:r>
        <w:rPr>
          <w:rFonts w:hint="eastAsia"/>
          <w:color w:val="auto"/>
          <w:lang w:val="en-US" w:eastAsia="zh-CN"/>
        </w:rPr>
        <w:t>61886</w:t>
      </w:r>
      <w:r>
        <w:rPr>
          <w:rFonts w:hint="eastAsia"/>
          <w:color w:val="auto"/>
        </w:rPr>
        <w:t>万股，占总股本的</w:t>
      </w:r>
      <w:r>
        <w:rPr>
          <w:rFonts w:hint="eastAsia"/>
          <w:color w:val="auto"/>
          <w:lang w:val="en-US" w:eastAsia="zh-CN"/>
        </w:rPr>
        <w:t>70.33</w:t>
      </w:r>
      <w:r>
        <w:rPr>
          <w:rFonts w:hint="eastAsia"/>
          <w:color w:val="auto"/>
        </w:rPr>
        <w:t>%，前十大法人股东明细如下：</w:t>
      </w:r>
    </w:p>
    <w:tbl>
      <w:tblPr>
        <w:tblStyle w:val="10"/>
        <w:tblW w:w="1004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176"/>
        <w:gridCol w:w="1467"/>
        <w:gridCol w:w="1467"/>
        <w:gridCol w:w="1467"/>
        <w:gridCol w:w="147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jc w:val="center"/>
        </w:trPr>
        <w:tc>
          <w:tcPr>
            <w:tcW w:w="417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en-US" w:eastAsia="zh-CN" w:bidi="ar-SA"/>
              </w:rPr>
              <w:t>股东名称</w:t>
            </w:r>
          </w:p>
        </w:tc>
        <w:tc>
          <w:tcPr>
            <w:tcW w:w="1467"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en-US" w:eastAsia="zh-CN" w:bidi="ar-SA"/>
              </w:rPr>
              <w:t>2023年末持股（万股）</w:t>
            </w:r>
          </w:p>
        </w:tc>
        <w:tc>
          <w:tcPr>
            <w:tcW w:w="14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en-US" w:eastAsia="zh-CN" w:bidi="ar-SA"/>
              </w:rPr>
              <w:t>持股比例</w:t>
            </w:r>
          </w:p>
        </w:tc>
        <w:tc>
          <w:tcPr>
            <w:tcW w:w="14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en-US" w:eastAsia="zh-CN" w:bidi="ar-SA"/>
              </w:rPr>
              <w:t>2022年末持股（万股）</w:t>
            </w:r>
          </w:p>
        </w:tc>
        <w:tc>
          <w:tcPr>
            <w:tcW w:w="147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en-US" w:eastAsia="zh-CN" w:bidi="ar-SA"/>
              </w:rPr>
              <w:t>持股比例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株洲市国有资产投资控股集团有限公司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17600.00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17600.00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湖南茶陵农村商业银行股份有限公司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湖南醴陵农村商业银行股份有限公司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湖南攸县农村商业银行股份有限公司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8712.00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9.90%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8712.00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上海盛龙置业有限公司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5280.00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5280.00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株洲市天元区保障住房开发建设有限公司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4312.00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4312.00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株洲太平洋药业有限公司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3454.00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3.93%</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4048.00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湖南珠峰房地产开发有限责任公司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2288.00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2288.00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株洲金科建设投资经营集团有限公司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株洲市正益房地产开发有限责任公司</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陈兰英</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880.00</w:t>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17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color w:val="auto"/>
                <w:kern w:val="0"/>
                <w:sz w:val="20"/>
                <w:szCs w:val="20"/>
              </w:rPr>
              <w:t>合计</w:t>
            </w:r>
          </w:p>
        </w:tc>
        <w:tc>
          <w:tcPr>
            <w:tcW w:w="14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61886.00</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70.33</w:t>
            </w:r>
          </w:p>
        </w:tc>
        <w:tc>
          <w:tcPr>
            <w:tcW w:w="14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 sum(E2:E12) \* MERGEFORMAT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62480</w:t>
            </w:r>
            <w:r>
              <w:rPr>
                <w:rFonts w:hint="eastAsia" w:ascii="宋体" w:hAnsi="宋体" w:eastAsia="宋体" w:cs="宋体"/>
                <w:i w:val="0"/>
                <w:iCs w:val="0"/>
                <w:color w:val="auto"/>
                <w:kern w:val="0"/>
                <w:sz w:val="20"/>
                <w:szCs w:val="20"/>
                <w:u w:val="none"/>
                <w:lang w:val="en-US" w:eastAsia="zh-CN" w:bidi="ar"/>
              </w:rPr>
              <w:fldChar w:fldCharType="end"/>
            </w:r>
          </w:p>
        </w:tc>
        <w:tc>
          <w:tcPr>
            <w:tcW w:w="1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71.00%</w:t>
            </w:r>
          </w:p>
        </w:tc>
      </w:tr>
    </w:tbl>
    <w:p>
      <w:pPr>
        <w:pStyle w:val="2"/>
        <w:rPr>
          <w:color w:val="auto"/>
        </w:rPr>
      </w:pPr>
    </w:p>
    <w:p>
      <w:pPr>
        <w:keepNext w:val="0"/>
        <w:keepLines w:val="0"/>
        <w:widowControl/>
        <w:suppressLineNumbers w:val="0"/>
        <w:ind w:firstLine="422" w:firstLineChars="200"/>
        <w:jc w:val="left"/>
        <w:rPr>
          <w:color w:val="auto"/>
          <w:sz w:val="21"/>
          <w:szCs w:val="21"/>
        </w:rPr>
      </w:pPr>
      <w:r>
        <w:rPr>
          <w:rFonts w:hint="eastAsia" w:ascii="宋体" w:hAnsi="宋体" w:eastAsia="宋体" w:cs="宋体"/>
          <w:b/>
          <w:bCs/>
          <w:color w:val="auto"/>
          <w:kern w:val="0"/>
          <w:sz w:val="21"/>
          <w:szCs w:val="21"/>
          <w:lang w:val="en-US" w:eastAsia="zh-CN" w:bidi="ar"/>
        </w:rPr>
        <w:t>（二）股权质押冻结及限制表决权情况</w:t>
      </w:r>
    </w:p>
    <w:p>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报告期末，因本行股东自身融资需要，本行股权对外质押</w:t>
      </w:r>
      <w:r>
        <w:rPr>
          <w:rFonts w:hint="eastAsia" w:ascii="Times New Roman" w:hAnsi="Times New Roman" w:eastAsia="宋体" w:cs="Times New Roman"/>
          <w:color w:val="auto"/>
          <w:kern w:val="0"/>
          <w:sz w:val="21"/>
          <w:szCs w:val="21"/>
          <w:lang w:val="en-US" w:eastAsia="zh-CN" w:bidi="ar"/>
        </w:rPr>
        <w:t>7户7</w:t>
      </w:r>
      <w:r>
        <w:rPr>
          <w:rFonts w:hint="eastAsia" w:ascii="宋体" w:hAnsi="宋体" w:eastAsia="宋体" w:cs="宋体"/>
          <w:color w:val="auto"/>
          <w:kern w:val="0"/>
          <w:sz w:val="21"/>
          <w:szCs w:val="21"/>
          <w:lang w:val="en-US" w:eastAsia="zh-CN" w:bidi="ar"/>
        </w:rPr>
        <w:t>笔，出质股权</w:t>
      </w:r>
      <w:r>
        <w:rPr>
          <w:rFonts w:hint="eastAsia" w:ascii="Times New Roman" w:hAnsi="Times New Roman" w:eastAsia="宋体" w:cs="Times New Roman"/>
          <w:color w:val="auto"/>
          <w:kern w:val="0"/>
          <w:sz w:val="21"/>
          <w:szCs w:val="21"/>
          <w:lang w:val="en-US" w:eastAsia="zh-CN" w:bidi="ar"/>
        </w:rPr>
        <w:t>5308</w:t>
      </w:r>
      <w:r>
        <w:rPr>
          <w:rFonts w:hint="eastAsia" w:ascii="宋体" w:hAnsi="宋体" w:eastAsia="宋体" w:cs="宋体"/>
          <w:color w:val="auto"/>
          <w:kern w:val="0"/>
          <w:sz w:val="21"/>
          <w:szCs w:val="21"/>
          <w:lang w:val="en-US" w:eastAsia="zh-CN" w:bidi="ar"/>
        </w:rPr>
        <w:t>万股，占本行总股本的</w:t>
      </w:r>
      <w:r>
        <w:rPr>
          <w:rFonts w:hint="eastAsia" w:ascii="Times New Roman" w:hAnsi="Times New Roman" w:eastAsia="宋体" w:cs="Times New Roman"/>
          <w:color w:val="auto"/>
          <w:kern w:val="0"/>
          <w:sz w:val="21"/>
          <w:szCs w:val="21"/>
          <w:lang w:val="en-US" w:eastAsia="zh-CN" w:bidi="ar"/>
        </w:rPr>
        <w:t>6.03</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，未违反商业银行股权质押管理的相关要求。其中</w:t>
      </w:r>
      <w:r>
        <w:rPr>
          <w:rFonts w:hint="default" w:ascii="Times New Roman" w:hAnsi="Times New Roman" w:eastAsia="宋体" w:cs="Times New Roman"/>
          <w:color w:val="auto"/>
          <w:kern w:val="0"/>
          <w:sz w:val="21"/>
          <w:szCs w:val="21"/>
          <w:lang w:val="en-US" w:eastAsia="zh-CN" w:bidi="ar"/>
        </w:rPr>
        <w:t>202</w:t>
      </w:r>
      <w:r>
        <w:rPr>
          <w:rFonts w:hint="eastAsia"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年办理</w:t>
      </w:r>
      <w:r>
        <w:rPr>
          <w:rFonts w:hint="eastAsia" w:ascii="Times New Roman" w:hAnsi="Times New Roman" w:eastAsia="宋体" w:cs="Times New Roman"/>
          <w:color w:val="auto"/>
          <w:kern w:val="0"/>
          <w:sz w:val="21"/>
          <w:szCs w:val="21"/>
          <w:lang w:val="en-US" w:eastAsia="zh-CN" w:bidi="ar"/>
        </w:rPr>
        <w:t>2笔，质押股权1050万股</w:t>
      </w:r>
      <w:r>
        <w:rPr>
          <w:rFonts w:hint="eastAsia" w:ascii="宋体" w:hAnsi="宋体" w:eastAsia="宋体" w:cs="宋体"/>
          <w:color w:val="auto"/>
          <w:kern w:val="0"/>
          <w:sz w:val="21"/>
          <w:szCs w:val="21"/>
          <w:lang w:val="en-US" w:eastAsia="zh-CN" w:bidi="ar"/>
        </w:rPr>
        <w:t>。</w:t>
      </w:r>
    </w:p>
    <w:tbl>
      <w:tblPr>
        <w:tblStyle w:val="46"/>
        <w:tblW w:w="8236" w:type="dxa"/>
        <w:tblInd w:w="96" w:type="dxa"/>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5669"/>
        <w:gridCol w:w="1283"/>
        <w:gridCol w:w="1284"/>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zh-TW" w:eastAsia="zh-TW" w:bidi="ar-SA"/>
              </w:rPr>
            </w:pPr>
            <w:r>
              <w:rPr>
                <w:rFonts w:hint="eastAsia" w:ascii="宋体" w:hAnsi="宋体" w:eastAsia="宋体" w:cs="宋体"/>
                <w:b/>
                <w:bCs/>
                <w:color w:val="auto"/>
                <w:kern w:val="2"/>
                <w:sz w:val="20"/>
                <w:szCs w:val="20"/>
                <w:lang w:val="zh-TW" w:eastAsia="zh-TW" w:bidi="ar-SA"/>
              </w:rPr>
              <w:t>股东名称</w:t>
            </w: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zh-TW" w:eastAsia="zh-TW" w:bidi="ar-SA"/>
              </w:rPr>
            </w:pPr>
            <w:r>
              <w:rPr>
                <w:rFonts w:hint="eastAsia" w:ascii="宋体" w:hAnsi="宋体" w:eastAsia="宋体" w:cs="宋体"/>
                <w:b/>
                <w:bCs/>
                <w:color w:val="auto"/>
                <w:kern w:val="2"/>
                <w:sz w:val="20"/>
                <w:szCs w:val="20"/>
                <w:lang w:val="zh-TW" w:eastAsia="zh-TW" w:bidi="ar-SA"/>
              </w:rPr>
              <w:t>质押股权数</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kern w:val="2"/>
                <w:sz w:val="20"/>
                <w:szCs w:val="20"/>
                <w:lang w:val="zh-TW" w:eastAsia="zh-CN" w:bidi="ar-SA"/>
              </w:rPr>
              <w:t>（</w:t>
            </w:r>
            <w:r>
              <w:rPr>
                <w:rFonts w:hint="eastAsia" w:ascii="宋体" w:hAnsi="宋体" w:eastAsia="宋体" w:cs="宋体"/>
                <w:b/>
                <w:bCs/>
                <w:color w:val="auto"/>
                <w:kern w:val="2"/>
                <w:sz w:val="20"/>
                <w:szCs w:val="20"/>
                <w:lang w:val="en-US" w:eastAsia="zh-CN" w:bidi="ar-SA"/>
              </w:rPr>
              <w:t>万股）</w:t>
            </w:r>
          </w:p>
        </w:tc>
        <w:tc>
          <w:tcPr>
            <w:tcW w:w="12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2"/>
                <w:sz w:val="20"/>
                <w:szCs w:val="20"/>
                <w:lang w:val="zh-TW" w:eastAsia="zh-TW" w:bidi="ar-SA"/>
              </w:rPr>
            </w:pPr>
            <w:r>
              <w:rPr>
                <w:rFonts w:hint="eastAsia" w:ascii="宋体" w:hAnsi="宋体" w:eastAsia="宋体" w:cs="宋体"/>
                <w:b/>
                <w:bCs/>
                <w:color w:val="auto"/>
                <w:kern w:val="2"/>
                <w:sz w:val="20"/>
                <w:szCs w:val="20"/>
                <w:lang w:val="zh-TW" w:eastAsia="zh-TW" w:bidi="ar-SA"/>
              </w:rPr>
              <w:t>冻结股权数</w:t>
            </w:r>
          </w:p>
          <w:p>
            <w:pPr>
              <w:pStyle w:val="2"/>
              <w:jc w:val="center"/>
              <w:rPr>
                <w:rFonts w:hint="eastAsia" w:ascii="宋体" w:hAnsi="宋体" w:eastAsia="宋体" w:cs="宋体"/>
                <w:color w:val="auto"/>
                <w:sz w:val="20"/>
                <w:szCs w:val="20"/>
                <w:lang w:val="zh-TW" w:eastAsia="zh-TW"/>
              </w:rPr>
            </w:pPr>
            <w:r>
              <w:rPr>
                <w:rFonts w:hint="eastAsia" w:ascii="宋体" w:hAnsi="宋体" w:eastAsia="宋体" w:cs="宋体"/>
                <w:b/>
                <w:bCs/>
                <w:color w:val="auto"/>
                <w:kern w:val="2"/>
                <w:sz w:val="20"/>
                <w:szCs w:val="20"/>
                <w:lang w:val="zh-TW" w:eastAsia="zh-CN" w:bidi="ar-SA"/>
              </w:rPr>
              <w:t>（</w:t>
            </w:r>
            <w:r>
              <w:rPr>
                <w:rFonts w:hint="eastAsia" w:ascii="宋体" w:hAnsi="宋体" w:eastAsia="宋体" w:cs="宋体"/>
                <w:b/>
                <w:bCs/>
                <w:color w:val="auto"/>
                <w:kern w:val="2"/>
                <w:sz w:val="20"/>
                <w:szCs w:val="20"/>
                <w:lang w:val="en-US" w:eastAsia="zh-CN" w:bidi="ar-SA"/>
              </w:rPr>
              <w:t>万股）</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湖南珠峰房地产开发有限责任公司</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2288</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株洲太平洋药业有限公司</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900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株洲市正益房地产开发有限责任公司</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880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陈兰英</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880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谭爱武</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150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en-US" w:eastAsia="zh-CN" w:bidi="ar"/>
              </w:rPr>
              <w:t>周志华</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zh-TW" w:eastAsia="zh-TW" w:bidi="ar"/>
              </w:rPr>
              <w:t>刘方炜</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小计</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5308</w:t>
            </w: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zh-TW" w:eastAsia="zh-TW" w:bidi="ar"/>
              </w:rPr>
            </w:pPr>
            <w:r>
              <w:rPr>
                <w:rFonts w:hint="eastAsia" w:ascii="宋体" w:hAnsi="宋体" w:eastAsia="宋体" w:cs="宋体"/>
                <w:i w:val="0"/>
                <w:iCs w:val="0"/>
                <w:color w:val="auto"/>
                <w:kern w:val="0"/>
                <w:sz w:val="20"/>
                <w:szCs w:val="20"/>
                <w:u w:val="none"/>
                <w:lang w:val="zh-TW" w:eastAsia="zh-TW" w:bidi="ar"/>
              </w:rPr>
              <w:t>王春香</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卢方</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王祺</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6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u w:val="none"/>
                <w:lang w:val="en-US" w:eastAsia="zh-CN" w:bidi="ar"/>
              </w:rPr>
            </w:pPr>
            <w:bookmarkStart w:id="19" w:name="_bookmark32"/>
            <w:bookmarkEnd w:id="19"/>
            <w:r>
              <w:rPr>
                <w:rFonts w:hint="eastAsia" w:ascii="宋体" w:hAnsi="宋体" w:eastAsia="宋体" w:cs="宋体"/>
                <w:b/>
                <w:bCs/>
                <w:i w:val="0"/>
                <w:iCs w:val="0"/>
                <w:color w:val="auto"/>
                <w:kern w:val="0"/>
                <w:sz w:val="20"/>
                <w:szCs w:val="20"/>
                <w:u w:val="none"/>
                <w:lang w:val="en-US" w:eastAsia="zh-CN" w:bidi="ar"/>
              </w:rPr>
              <w:t>小计</w:t>
            </w:r>
          </w:p>
        </w:tc>
        <w:tc>
          <w:tcPr>
            <w:tcW w:w="128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40.1</w:t>
            </w:r>
          </w:p>
        </w:tc>
      </w:tr>
    </w:tbl>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p>
    <w:p>
      <w:pPr>
        <w:keepNext w:val="0"/>
        <w:keepLines w:val="0"/>
        <w:widowControl/>
        <w:suppressLineNumbers w:val="0"/>
        <w:ind w:firstLine="420" w:firstLineChars="20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持股</w:t>
      </w: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以上股东未质押本行股权。</w:t>
      </w:r>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质押股权表决权限制情况。根据公司章程、股东大会议事规则、董事会议事规则等对质押股权表决权限制的有关规定，董事会已限制质押股权数量超过其持有本行股权</w:t>
      </w:r>
      <w:r>
        <w:rPr>
          <w:rFonts w:hint="default" w:ascii="Times New Roman" w:hAnsi="Times New Roman" w:eastAsia="宋体" w:cs="Times New Roman"/>
          <w:color w:val="auto"/>
          <w:kern w:val="0"/>
          <w:sz w:val="21"/>
          <w:szCs w:val="21"/>
          <w:lang w:val="en-US" w:eastAsia="zh-CN" w:bidi="ar"/>
        </w:rPr>
        <w:t>50%</w:t>
      </w:r>
      <w:r>
        <w:rPr>
          <w:rFonts w:hint="eastAsia" w:ascii="宋体" w:hAnsi="宋体" w:eastAsia="宋体" w:cs="宋体"/>
          <w:color w:val="auto"/>
          <w:kern w:val="0"/>
          <w:sz w:val="21"/>
          <w:szCs w:val="21"/>
          <w:lang w:val="en-US" w:eastAsia="zh-CN" w:bidi="ar"/>
        </w:rPr>
        <w:t>的股东湖南珠峰房地产开发有限责任公司、株洲市正益房地产开发有限责任公司和陈兰英等4名自然人股东等在股东大会上的表决权。</w:t>
      </w:r>
    </w:p>
    <w:p>
      <w:pPr>
        <w:spacing w:before="0" w:after="0" w:line="240" w:lineRule="auto"/>
        <w:ind w:left="0" w:right="0" w:firstLine="0"/>
        <w:jc w:val="both"/>
        <w:rPr>
          <w:rFonts w:ascii="宋体" w:hAnsi="宋体" w:eastAsia="宋体" w:cs="宋体"/>
          <w:b/>
          <w:color w:val="auto"/>
          <w:spacing w:val="0"/>
          <w:position w:val="0"/>
          <w:sz w:val="21"/>
          <w:shd w:val="clear" w:fill="auto"/>
        </w:rPr>
      </w:pPr>
    </w:p>
    <w:p>
      <w:pPr>
        <w:spacing w:before="0" w:after="0" w:line="240" w:lineRule="auto"/>
        <w:ind w:left="0" w:right="0" w:firstLine="0"/>
        <w:jc w:val="both"/>
        <w:rPr>
          <w:rFonts w:ascii="Calibri" w:hAnsi="Calibri" w:eastAsia="Calibri" w:cs="Calibri"/>
          <w:b/>
          <w:color w:val="auto"/>
          <w:spacing w:val="0"/>
          <w:position w:val="0"/>
          <w:sz w:val="21"/>
          <w:shd w:val="clear" w:fill="auto"/>
        </w:rPr>
      </w:pPr>
      <w:r>
        <w:rPr>
          <w:rFonts w:ascii="宋体" w:hAnsi="宋体" w:eastAsia="宋体" w:cs="宋体"/>
          <w:b/>
          <w:color w:val="auto"/>
          <w:spacing w:val="0"/>
          <w:position w:val="0"/>
          <w:sz w:val="21"/>
          <w:shd w:val="clear" w:fill="auto"/>
        </w:rPr>
        <w:t>第三部分</w:t>
      </w:r>
      <w:r>
        <w:rPr>
          <w:rFonts w:ascii="Calibri" w:hAnsi="Calibri" w:eastAsia="Calibri" w:cs="Calibri"/>
          <w:b/>
          <w:color w:val="auto"/>
          <w:spacing w:val="0"/>
          <w:position w:val="0"/>
          <w:sz w:val="21"/>
          <w:shd w:val="clear" w:fill="auto"/>
        </w:rPr>
        <w:t xml:space="preserve">  </w:t>
      </w:r>
      <w:r>
        <w:rPr>
          <w:rFonts w:ascii="宋体" w:hAnsi="宋体" w:eastAsia="宋体" w:cs="宋体"/>
          <w:b/>
          <w:color w:val="auto"/>
          <w:spacing w:val="0"/>
          <w:position w:val="0"/>
          <w:sz w:val="21"/>
          <w:shd w:val="clear" w:fill="auto"/>
        </w:rPr>
        <w:t>主要业务信息与数据摘要</w:t>
      </w: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宋体" w:hAnsi="宋体" w:eastAsia="宋体" w:cs="宋体"/>
          <w:b/>
          <w:color w:val="auto"/>
          <w:spacing w:val="0"/>
          <w:position w:val="0"/>
          <w:sz w:val="21"/>
          <w:u w:val="none"/>
          <w:shd w:val="clear" w:fill="auto"/>
        </w:rPr>
        <w:t>一、主要会计数据和财务指标</w:t>
      </w: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宋体" w:hAnsi="宋体" w:eastAsia="宋体" w:cs="宋体"/>
          <w:b/>
          <w:color w:val="auto"/>
          <w:spacing w:val="0"/>
          <w:position w:val="0"/>
          <w:sz w:val="21"/>
          <w:u w:val="none"/>
          <w:shd w:val="clear" w:fill="auto"/>
        </w:rPr>
        <w:t>（一）主要会计数据</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单位：万元，人民币，元</w:t>
      </w:r>
      <w:r>
        <w:rPr>
          <w:rFonts w:ascii="Calibri" w:hAnsi="Calibri" w:eastAsia="Calibri" w:cs="Calibri"/>
          <w:color w:val="auto"/>
          <w:spacing w:val="0"/>
          <w:position w:val="0"/>
          <w:sz w:val="21"/>
          <w:u w:val="none"/>
          <w:shd w:val="clear" w:fill="auto"/>
        </w:rPr>
        <w:t>/</w:t>
      </w:r>
      <w:r>
        <w:rPr>
          <w:rFonts w:ascii="宋体" w:hAnsi="宋体" w:eastAsia="宋体" w:cs="宋体"/>
          <w:color w:val="auto"/>
          <w:spacing w:val="0"/>
          <w:position w:val="0"/>
          <w:sz w:val="21"/>
          <w:u w:val="none"/>
          <w:shd w:val="clear" w:fill="auto"/>
        </w:rPr>
        <w:t>股</w:t>
      </w:r>
    </w:p>
    <w:tbl>
      <w:tblPr>
        <w:tblStyle w:val="10"/>
        <w:tblW w:w="0" w:type="auto"/>
        <w:tblInd w:w="91" w:type="dxa"/>
        <w:tblLayout w:type="autofit"/>
        <w:tblCellMar>
          <w:top w:w="0" w:type="dxa"/>
          <w:left w:w="10" w:type="dxa"/>
          <w:bottom w:w="0" w:type="dxa"/>
          <w:right w:w="10" w:type="dxa"/>
        </w:tblCellMar>
      </w:tblPr>
      <w:tblGrid>
        <w:gridCol w:w="2265"/>
        <w:gridCol w:w="2175"/>
        <w:gridCol w:w="2175"/>
        <w:gridCol w:w="2175"/>
      </w:tblGrid>
      <w:tr>
        <w:tblPrEx>
          <w:tblCellMar>
            <w:top w:w="0" w:type="dxa"/>
            <w:left w:w="10" w:type="dxa"/>
            <w:bottom w:w="0" w:type="dxa"/>
            <w:right w:w="10" w:type="dxa"/>
          </w:tblCellMar>
        </w:tblPrEx>
        <w:trPr>
          <w:trHeight w:val="0" w:hRule="atLeast"/>
        </w:trPr>
        <w:tc>
          <w:tcPr>
            <w:tcW w:w="226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全年经营成果</w:t>
            </w:r>
          </w:p>
        </w:tc>
        <w:tc>
          <w:tcPr>
            <w:tcW w:w="217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2023年度</w:t>
            </w:r>
          </w:p>
        </w:tc>
        <w:tc>
          <w:tcPr>
            <w:tcW w:w="217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2022年度</w:t>
            </w:r>
          </w:p>
        </w:tc>
        <w:tc>
          <w:tcPr>
            <w:tcW w:w="217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2021年度</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营业收入</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112,900.13</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112,716.73</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106,688.73</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营业利润</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7,869.16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15,403.02</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24,194.14</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利润总额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7,850.46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16,098.00</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24,194.02</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净利润</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6,084.85</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11,768.24</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16,865.50</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报告期末</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资产总额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2,453,681.92</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2,249,390.45</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tabs>
                <w:tab w:val="center" w:pos="1039"/>
                <w:tab w:val="right" w:pos="1959"/>
              </w:tabs>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ab/>
            </w:r>
            <w:r>
              <w:rPr>
                <w:rFonts w:ascii="宋体" w:hAnsi="宋体" w:eastAsia="宋体" w:cs="宋体"/>
                <w:color w:val="auto"/>
                <w:spacing w:val="0"/>
                <w:position w:val="0"/>
                <w:sz w:val="20"/>
                <w:u w:val="none"/>
                <w:shd w:val="clear" w:fill="auto"/>
              </w:rPr>
              <w:t>2,262,885.67</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贷款总额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1,572,058.34</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1,403,984.02</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1,244,922.57</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贷款损失准备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63,006.46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46,593.17</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36,127.49</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投资</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716,803.40</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555,847.59</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715,166.46</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负债总额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2,291,283.37</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2,084,322.09</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2,099,418.00</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存款总额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2,049,736.37</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1,886,919.82</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1,838,500.28</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股本</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核心一级资本净额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165,017.15</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149,465.63</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一级资本净额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165,017.15</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149,465.63</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总资本净额</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192,572.85</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183,595.98</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167,370.68</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风险加权资产</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1,744,091.30</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1,611,448.68</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1,556,102.02</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每股净资产</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1.85</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1.88</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1.86</w:t>
            </w:r>
          </w:p>
        </w:tc>
      </w:tr>
    </w:tbl>
    <w:p>
      <w:pPr>
        <w:spacing w:before="0" w:after="0" w:line="240" w:lineRule="auto"/>
        <w:ind w:left="0" w:right="0" w:firstLine="0"/>
        <w:jc w:val="both"/>
        <w:rPr>
          <w:rFonts w:ascii="Times New Roman" w:hAnsi="Times New Roman" w:eastAsia="Times New Roman" w:cs="Times New Roman"/>
          <w:color w:val="C00000"/>
          <w:spacing w:val="0"/>
          <w:position w:val="0"/>
          <w:sz w:val="21"/>
          <w:u w:val="none"/>
          <w:shd w:val="clear" w:fill="auto"/>
        </w:rPr>
      </w:pP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宋体" w:hAnsi="宋体" w:eastAsia="宋体" w:cs="宋体"/>
          <w:b/>
          <w:color w:val="auto"/>
          <w:spacing w:val="0"/>
          <w:position w:val="0"/>
          <w:sz w:val="21"/>
          <w:u w:val="none"/>
          <w:shd w:val="clear" w:fill="auto"/>
        </w:rPr>
        <w:t>（二）财务指标</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2265"/>
        <w:gridCol w:w="2175"/>
        <w:gridCol w:w="2175"/>
        <w:gridCol w:w="2175"/>
      </w:tblGrid>
      <w:tr>
        <w:tblPrEx>
          <w:tblCellMar>
            <w:top w:w="0" w:type="dxa"/>
            <w:left w:w="10" w:type="dxa"/>
            <w:bottom w:w="0" w:type="dxa"/>
            <w:right w:w="10" w:type="dxa"/>
          </w:tblCellMar>
        </w:tblPrEx>
        <w:trPr>
          <w:trHeight w:val="0" w:hRule="atLeast"/>
        </w:trPr>
        <w:tc>
          <w:tcPr>
            <w:tcW w:w="226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盈利能力指标</w:t>
            </w:r>
          </w:p>
        </w:tc>
        <w:tc>
          <w:tcPr>
            <w:tcW w:w="217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2023年度</w:t>
            </w:r>
          </w:p>
        </w:tc>
        <w:tc>
          <w:tcPr>
            <w:tcW w:w="2175"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2022年度</w:t>
            </w:r>
          </w:p>
        </w:tc>
        <w:tc>
          <w:tcPr>
            <w:tcW w:w="217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2021年度</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资产利润率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0.26</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0.52</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0.79</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资本利润率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3.72</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7.48</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11.53</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成本收入比</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41.24</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41.43</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42.68</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利息净收入占比</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94.62</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96.93</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96.69</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非利息净收入占比</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5.38</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3.07</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3.31</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资产质量指标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不良贷款率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2.61</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1.99</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1.85</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拨备覆盖率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153.77</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167.09</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191.15</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拨贷比</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4.01</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3.32</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3.54</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资本充足率指标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资本充足率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11.04</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11.39</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10.76</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一级资本充足率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9.31</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10.34</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9.61</w:t>
            </w:r>
          </w:p>
        </w:tc>
      </w:tr>
      <w:tr>
        <w:tblPrEx>
          <w:tblCellMar>
            <w:top w:w="0" w:type="dxa"/>
            <w:left w:w="10" w:type="dxa"/>
            <w:bottom w:w="0" w:type="dxa"/>
            <w:right w:w="10" w:type="dxa"/>
          </w:tblCellMar>
        </w:tblPrEx>
        <w:trPr>
          <w:trHeight w:val="0" w:hRule="atLeast"/>
        </w:trPr>
        <w:tc>
          <w:tcPr>
            <w:tcW w:w="22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核心一级资本充足率</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9.31</w:t>
            </w:r>
          </w:p>
        </w:tc>
        <w:tc>
          <w:tcPr>
            <w:tcW w:w="217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10.34</w:t>
            </w:r>
          </w:p>
        </w:tc>
        <w:tc>
          <w:tcPr>
            <w:tcW w:w="217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9.61</w:t>
            </w:r>
          </w:p>
        </w:tc>
      </w:tr>
    </w:tbl>
    <w:p>
      <w:pPr>
        <w:spacing w:before="0" w:after="0" w:line="240" w:lineRule="auto"/>
        <w:ind w:left="0" w:right="0" w:firstLine="0"/>
        <w:jc w:val="both"/>
        <w:rPr>
          <w:rFonts w:ascii="Calibri" w:hAnsi="Calibri" w:eastAsia="Calibri" w:cs="Calibri"/>
          <w:color w:val="C00000"/>
          <w:spacing w:val="0"/>
          <w:position w:val="0"/>
          <w:sz w:val="21"/>
          <w:u w:val="none"/>
          <w:shd w:val="clear" w:fill="auto"/>
        </w:rPr>
      </w:pP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宋体" w:hAnsi="宋体" w:eastAsia="宋体" w:cs="宋体"/>
          <w:b/>
          <w:color w:val="auto"/>
          <w:spacing w:val="0"/>
          <w:position w:val="0"/>
          <w:sz w:val="21"/>
          <w:u w:val="none"/>
          <w:shd w:val="clear" w:fill="auto"/>
        </w:rPr>
        <w:t>（三）资本充足状况</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w:t>
      </w:r>
      <w:r>
        <w:rPr>
          <w:rFonts w:ascii="Calibri" w:hAnsi="Calibri" w:eastAsia="Calibri" w:cs="Calibri"/>
          <w:color w:val="auto"/>
          <w:spacing w:val="0"/>
          <w:position w:val="0"/>
          <w:sz w:val="21"/>
          <w:u w:val="none"/>
          <w:shd w:val="clear" w:fill="auto"/>
        </w:rPr>
        <w:t>%</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 w:type="dxa"/>
          <w:bottom w:w="0" w:type="dxa"/>
          <w:right w:w="10" w:type="dxa"/>
        </w:tblCellMar>
      </w:tblPr>
      <w:tblGrid>
        <w:gridCol w:w="5443"/>
        <w:gridCol w:w="34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项目</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年末数（万元）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一、核心一级资本</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1.</w:t>
            </w:r>
            <w:r>
              <w:rPr>
                <w:rFonts w:ascii="宋体" w:hAnsi="宋体" w:eastAsia="宋体" w:cs="宋体"/>
                <w:color w:val="auto"/>
                <w:spacing w:val="0"/>
                <w:position w:val="0"/>
                <w:sz w:val="18"/>
                <w:u w:val="none"/>
                <w:shd w:val="clear" w:fill="auto"/>
              </w:rPr>
              <w:t>实收资本（注册资本）</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2.</w:t>
            </w:r>
            <w:r>
              <w:rPr>
                <w:rFonts w:ascii="宋体" w:hAnsi="宋体" w:eastAsia="宋体" w:cs="宋体"/>
                <w:color w:val="auto"/>
                <w:spacing w:val="0"/>
                <w:position w:val="0"/>
                <w:sz w:val="18"/>
                <w:u w:val="none"/>
                <w:shd w:val="clear" w:fill="auto"/>
              </w:rPr>
              <w:t>资本公积</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3.</w:t>
            </w:r>
            <w:r>
              <w:rPr>
                <w:rFonts w:ascii="宋体" w:hAnsi="宋体" w:eastAsia="宋体" w:cs="宋体"/>
                <w:color w:val="auto"/>
                <w:spacing w:val="0"/>
                <w:position w:val="0"/>
                <w:sz w:val="18"/>
                <w:u w:val="none"/>
                <w:shd w:val="clear" w:fill="auto"/>
              </w:rPr>
              <w:t>盈余公积</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12,140.96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4.</w:t>
            </w:r>
            <w:r>
              <w:rPr>
                <w:rFonts w:ascii="宋体" w:hAnsi="宋体" w:eastAsia="宋体" w:cs="宋体"/>
                <w:color w:val="auto"/>
                <w:spacing w:val="0"/>
                <w:position w:val="0"/>
                <w:sz w:val="18"/>
                <w:u w:val="none"/>
                <w:shd w:val="clear" w:fill="auto"/>
              </w:rPr>
              <w:t>一般准备</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32,266.93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5.</w:t>
            </w:r>
            <w:r>
              <w:rPr>
                <w:rFonts w:ascii="宋体" w:hAnsi="宋体" w:eastAsia="宋体" w:cs="宋体"/>
                <w:color w:val="auto"/>
                <w:spacing w:val="0"/>
                <w:position w:val="0"/>
                <w:sz w:val="18"/>
                <w:u w:val="none"/>
                <w:shd w:val="clear" w:fill="auto"/>
              </w:rPr>
              <w:t>未分配利润</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28,733.12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6.</w:t>
            </w:r>
            <w:r>
              <w:rPr>
                <w:rFonts w:ascii="宋体" w:hAnsi="宋体" w:eastAsia="宋体" w:cs="宋体"/>
                <w:color w:val="auto"/>
                <w:spacing w:val="0"/>
                <w:position w:val="0"/>
                <w:sz w:val="18"/>
                <w:u w:val="none"/>
                <w:shd w:val="clear" w:fill="auto"/>
              </w:rPr>
              <w:t>其他</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1,257.55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二、核心一级资本扣除项目</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三、核心一级资本净额</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四、一级资本净额</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五、二级资本</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30,174.29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1.</w:t>
            </w:r>
            <w:r>
              <w:rPr>
                <w:rFonts w:ascii="宋体" w:hAnsi="宋体" w:eastAsia="宋体" w:cs="宋体"/>
                <w:color w:val="auto"/>
                <w:spacing w:val="0"/>
                <w:position w:val="0"/>
                <w:sz w:val="18"/>
                <w:u w:val="none"/>
                <w:shd w:val="clear" w:fill="auto"/>
              </w:rPr>
              <w:t>超额贷款损失准备</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20,190.80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六、二级资本监管扣除项目</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七、资本净额</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192,572.85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八、加权风险资产总额</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1,744,091.30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1.</w:t>
            </w:r>
            <w:r>
              <w:rPr>
                <w:rFonts w:ascii="宋体" w:hAnsi="宋体" w:eastAsia="宋体" w:cs="宋体"/>
                <w:color w:val="auto"/>
                <w:spacing w:val="0"/>
                <w:position w:val="0"/>
                <w:sz w:val="18"/>
                <w:u w:val="none"/>
                <w:shd w:val="clear" w:fill="auto"/>
              </w:rPr>
              <w:t>信用风险加权资产（权重法）</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1,635,454.88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2.</w:t>
            </w:r>
            <w:r>
              <w:rPr>
                <w:rFonts w:ascii="宋体" w:hAnsi="宋体" w:eastAsia="宋体" w:cs="宋体"/>
                <w:color w:val="auto"/>
                <w:spacing w:val="0"/>
                <w:position w:val="0"/>
                <w:sz w:val="18"/>
                <w:u w:val="none"/>
                <w:shd w:val="clear" w:fill="auto"/>
              </w:rPr>
              <w:t>市场风险加权资产</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180"/>
              <w:jc w:val="left"/>
              <w:rPr>
                <w:color w:val="auto"/>
                <w:spacing w:val="0"/>
                <w:position w:val="0"/>
                <w:u w:val="none"/>
                <w:shd w:val="clear" w:fill="auto"/>
              </w:rPr>
            </w:pPr>
            <w:r>
              <w:rPr>
                <w:rFonts w:ascii="Calibri" w:hAnsi="Calibri" w:eastAsia="Calibri" w:cs="Calibri"/>
                <w:color w:val="auto"/>
                <w:spacing w:val="0"/>
                <w:position w:val="0"/>
                <w:sz w:val="18"/>
                <w:u w:val="none"/>
                <w:shd w:val="clear" w:fill="auto"/>
              </w:rPr>
              <w:t>3.</w:t>
            </w:r>
            <w:r>
              <w:rPr>
                <w:rFonts w:ascii="宋体" w:hAnsi="宋体" w:eastAsia="宋体" w:cs="宋体"/>
                <w:color w:val="auto"/>
                <w:spacing w:val="0"/>
                <w:position w:val="0"/>
                <w:sz w:val="18"/>
                <w:u w:val="none"/>
                <w:shd w:val="clear" w:fill="auto"/>
              </w:rPr>
              <w:t>操作风险加权资产</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108,636.42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九、核心一级资本充足率</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十、一级资本充足率</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0" w:hRule="atLeast"/>
        </w:trPr>
        <w:tc>
          <w:tcPr>
            <w:tcW w:w="5443"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18"/>
                <w:u w:val="none"/>
                <w:shd w:val="clear" w:fill="auto"/>
              </w:rPr>
              <w:t>十一、资本充足率</w:t>
            </w:r>
          </w:p>
        </w:tc>
        <w:tc>
          <w:tcPr>
            <w:tcW w:w="3457" w:type="dxa"/>
            <w:tcBorders>
              <w:tl2br w:val="nil"/>
              <w:tr2bl w:val="nil"/>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11.04%</w:t>
            </w:r>
          </w:p>
        </w:tc>
      </w:tr>
    </w:tbl>
    <w:p>
      <w:pPr>
        <w:spacing w:before="0" w:after="0" w:line="240" w:lineRule="auto"/>
        <w:ind w:left="0" w:right="0" w:firstLine="0"/>
        <w:jc w:val="both"/>
        <w:rPr>
          <w:rFonts w:ascii="Calibri" w:hAnsi="Calibri" w:eastAsia="Calibri" w:cs="Calibri"/>
          <w:color w:val="C00000"/>
          <w:spacing w:val="0"/>
          <w:position w:val="0"/>
          <w:sz w:val="21"/>
          <w:u w:val="none"/>
          <w:shd w:val="clear" w:fill="auto"/>
        </w:rPr>
      </w:pP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宋体" w:hAnsi="宋体" w:eastAsia="宋体" w:cs="宋体"/>
          <w:b/>
          <w:color w:val="auto"/>
          <w:spacing w:val="0"/>
          <w:position w:val="0"/>
          <w:sz w:val="21"/>
          <w:u w:val="none"/>
          <w:shd w:val="clear" w:fill="auto"/>
        </w:rPr>
        <w:t>（四）经营情况分析</w:t>
      </w: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Calibri" w:hAnsi="Calibri" w:eastAsia="Calibri" w:cs="Calibri"/>
          <w:b/>
          <w:color w:val="auto"/>
          <w:spacing w:val="0"/>
          <w:position w:val="0"/>
          <w:sz w:val="21"/>
          <w:u w:val="none"/>
          <w:shd w:val="clear" w:fill="auto"/>
        </w:rPr>
        <w:t>1.</w:t>
      </w:r>
      <w:r>
        <w:rPr>
          <w:rFonts w:ascii="宋体" w:hAnsi="宋体" w:eastAsia="宋体" w:cs="宋体"/>
          <w:b/>
          <w:color w:val="auto"/>
          <w:spacing w:val="0"/>
          <w:position w:val="0"/>
          <w:sz w:val="21"/>
          <w:u w:val="none"/>
          <w:shd w:val="clear" w:fill="auto"/>
        </w:rPr>
        <w:t>资产负债表分析</w:t>
      </w:r>
    </w:p>
    <w:p>
      <w:pPr>
        <w:spacing w:before="0" w:after="0" w:line="240" w:lineRule="auto"/>
        <w:ind w:left="0" w:right="0" w:firstLine="0"/>
        <w:jc w:val="center"/>
        <w:rPr>
          <w:rFonts w:ascii="Times New Roman" w:hAnsi="Times New Roman" w:eastAsia="Times New Roman" w:cs="Times New Roman"/>
          <w:color w:val="auto"/>
          <w:spacing w:val="0"/>
          <w:position w:val="0"/>
          <w:sz w:val="21"/>
          <w:u w:val="none"/>
          <w:shd w:val="clear" w:fill="auto"/>
        </w:rPr>
      </w:pPr>
      <w:r>
        <w:rPr>
          <w:rFonts w:ascii="宋体" w:hAnsi="宋体" w:eastAsia="宋体" w:cs="宋体"/>
          <w:b/>
          <w:bCs/>
          <w:color w:val="auto"/>
          <w:spacing w:val="0"/>
          <w:position w:val="0"/>
          <w:sz w:val="21"/>
          <w:u w:val="none"/>
          <w:shd w:val="clear" w:fill="auto"/>
        </w:rPr>
        <w:t>资产负债表主要项目占比</w:t>
      </w:r>
    </w:p>
    <w:p>
      <w:pPr>
        <w:spacing w:before="0" w:after="0" w:line="240" w:lineRule="auto"/>
        <w:ind w:left="0" w:right="0" w:firstLine="0"/>
        <w:jc w:val="right"/>
        <w:rPr>
          <w:rFonts w:ascii="Times New Roman" w:hAnsi="Times New Roman" w:eastAsia="Times New Roman" w:cs="Times New Roman"/>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Times New Roman" w:hAnsi="Times New Roman" w:eastAsia="Times New Roman" w:cs="Times New Roman"/>
          <w:color w:val="auto"/>
          <w:spacing w:val="0"/>
          <w:position w:val="0"/>
          <w:sz w:val="21"/>
          <w:u w:val="none"/>
          <w:shd w:val="clear" w:fill="auto"/>
        </w:rPr>
        <w:t>%</w:t>
      </w:r>
    </w:p>
    <w:tbl>
      <w:tblPr>
        <w:tblStyle w:val="10"/>
        <w:tblW w:w="0" w:type="auto"/>
        <w:jc w:val="center"/>
        <w:tblLayout w:type="autofit"/>
        <w:tblCellMar>
          <w:top w:w="0" w:type="dxa"/>
          <w:left w:w="10" w:type="dxa"/>
          <w:bottom w:w="0" w:type="dxa"/>
          <w:right w:w="10" w:type="dxa"/>
        </w:tblCellMar>
      </w:tblPr>
      <w:tblGrid>
        <w:gridCol w:w="2778"/>
        <w:gridCol w:w="1596"/>
        <w:gridCol w:w="1244"/>
        <w:gridCol w:w="1596"/>
        <w:gridCol w:w="1244"/>
      </w:tblGrid>
      <w:tr>
        <w:tblPrEx>
          <w:tblCellMar>
            <w:top w:w="0" w:type="dxa"/>
            <w:left w:w="10" w:type="dxa"/>
            <w:bottom w:w="0" w:type="dxa"/>
            <w:right w:w="10" w:type="dxa"/>
          </w:tblCellMar>
        </w:tblPrEx>
        <w:trPr>
          <w:trHeight w:val="0" w:hRule="atLeast"/>
          <w:jc w:val="center"/>
        </w:trPr>
        <w:tc>
          <w:tcPr>
            <w:tcW w:w="2778" w:type="dxa"/>
            <w:vMerge w:val="restart"/>
            <w:tcBorders>
              <w:top w:val="single" w:color="000000" w:sz="0" w:space="0"/>
              <w:left w:val="single" w:color="000000" w:sz="0" w:space="0"/>
              <w:right w:val="single" w:color="000000" w:sz="8"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u w:val="none"/>
                <w:shd w:val="clear" w:fill="auto"/>
              </w:rPr>
            </w:pPr>
          </w:p>
        </w:tc>
        <w:tc>
          <w:tcPr>
            <w:tcW w:w="2840" w:type="dxa"/>
            <w:gridSpan w:val="2"/>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b/>
                <w:color w:val="auto"/>
                <w:spacing w:val="0"/>
                <w:position w:val="0"/>
                <w:sz w:val="20"/>
                <w:u w:val="none"/>
                <w:shd w:val="clear" w:fill="auto"/>
              </w:rPr>
            </w:pPr>
            <w:r>
              <w:rPr>
                <w:rFonts w:ascii="宋体" w:hAnsi="宋体" w:eastAsia="宋体" w:cs="宋体"/>
                <w:b/>
                <w:color w:val="auto"/>
                <w:spacing w:val="0"/>
                <w:position w:val="0"/>
                <w:sz w:val="20"/>
                <w:u w:val="none"/>
                <w:shd w:val="clear" w:fill="auto"/>
              </w:rPr>
              <w:t>2023年12月31日</w:t>
            </w:r>
          </w:p>
        </w:tc>
        <w:tc>
          <w:tcPr>
            <w:tcW w:w="284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b/>
                <w:color w:val="auto"/>
                <w:spacing w:val="0"/>
                <w:position w:val="0"/>
                <w:sz w:val="2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jc w:val="center"/>
        </w:trPr>
        <w:tc>
          <w:tcPr>
            <w:tcW w:w="2778" w:type="dxa"/>
            <w:vMerge w:val="continue"/>
            <w:tcBorders>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u w:val="none"/>
                <w:shd w:val="clear" w:fill="auto"/>
              </w:rPr>
            </w:pP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596"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244"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资产总计</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2,453,681.92</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2,249,390.45</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其中：发放贷款和垫款净值</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1,511,383.48</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61.60</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1,359,819.92</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60.45</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存拆放同业及其他金融机构</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79,571.75</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3.24</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153,692.52</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6.83</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现金及存放中央银行款</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113,472.16</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4.62</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142,882.27</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6.35</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投资</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707,701.90</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tabs>
                <w:tab w:val="center" w:pos="842"/>
                <w:tab w:val="right" w:pos="1564"/>
              </w:tabs>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ab/>
            </w:r>
            <w:r>
              <w:rPr>
                <w:rFonts w:ascii="宋体" w:hAnsi="宋体" w:eastAsia="宋体" w:cs="宋体"/>
                <w:color w:val="auto"/>
                <w:spacing w:val="0"/>
                <w:position w:val="0"/>
                <w:sz w:val="20"/>
                <w:u w:val="none"/>
                <w:shd w:val="clear" w:fill="auto"/>
              </w:rPr>
              <w:t>28.84</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548,803.11</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24.40</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固定资产</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17,261.64</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0.70</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18,212.24</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0.81</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负债总计</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2,291,283.37</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2,084,322.09</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其中：客户存款</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2,118,329.64</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92.45</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1,951,990.55</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93.65</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同业及其他金融机构存拆入</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2,120.28</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0.09</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4,037.98</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0.19</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向中央银行借款</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46,200.00</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0.87</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55,445.27</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2.66</w:t>
            </w: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应付债券</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10,055.95</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0.44</w:t>
            </w: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jc w:val="center"/>
        </w:trPr>
        <w:tc>
          <w:tcPr>
            <w:tcW w:w="2778"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所有者权益总计</w:t>
            </w:r>
          </w:p>
        </w:tc>
        <w:tc>
          <w:tcPr>
            <w:tcW w:w="159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162,398.55</w:t>
            </w:r>
          </w:p>
        </w:tc>
        <w:tc>
          <w:tcPr>
            <w:tcW w:w="124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59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165,068.36</w:t>
            </w:r>
          </w:p>
        </w:tc>
        <w:tc>
          <w:tcPr>
            <w:tcW w:w="1244"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bl>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1</w:t>
      </w:r>
      <w:r>
        <w:rPr>
          <w:rFonts w:ascii="宋体" w:hAnsi="宋体" w:eastAsia="宋体" w:cs="宋体"/>
          <w:color w:val="auto"/>
          <w:spacing w:val="0"/>
          <w:position w:val="0"/>
          <w:sz w:val="21"/>
          <w:u w:val="none"/>
          <w:shd w:val="clear" w:fill="auto"/>
        </w:rPr>
        <w:t>）资产</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截至报告期末，本行资产总额</w:t>
      </w:r>
      <w:r>
        <w:rPr>
          <w:rFonts w:ascii="Calibri" w:hAnsi="Calibri" w:eastAsia="Calibri" w:cs="Calibri"/>
          <w:color w:val="auto"/>
          <w:spacing w:val="0"/>
          <w:position w:val="0"/>
          <w:sz w:val="21"/>
          <w:u w:val="none"/>
          <w:shd w:val="clear" w:fill="auto"/>
        </w:rPr>
        <w:t>245.37</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20.43</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9.08%</w:t>
      </w:r>
      <w:r>
        <w:rPr>
          <w:rFonts w:ascii="宋体" w:hAnsi="宋体" w:eastAsia="宋体" w:cs="宋体"/>
          <w:color w:val="auto"/>
          <w:spacing w:val="0"/>
          <w:position w:val="0"/>
          <w:sz w:val="21"/>
          <w:u w:val="none"/>
          <w:shd w:val="clear" w:fill="auto"/>
        </w:rPr>
        <w:t>。</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1.</w:t>
      </w:r>
      <w:r>
        <w:rPr>
          <w:rFonts w:ascii="宋体" w:hAnsi="宋体" w:eastAsia="宋体" w:cs="宋体"/>
          <w:color w:val="auto"/>
          <w:spacing w:val="0"/>
          <w:position w:val="0"/>
          <w:sz w:val="21"/>
          <w:u w:val="none"/>
          <w:shd w:val="clear" w:fill="auto"/>
        </w:rPr>
        <w:t>发放贷款和垫款</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截至报告期末，本行贷款和垫款总额</w:t>
      </w:r>
      <w:r>
        <w:rPr>
          <w:rFonts w:ascii="Calibri" w:hAnsi="Calibri" w:eastAsia="Calibri" w:cs="Calibri"/>
          <w:color w:val="auto"/>
          <w:spacing w:val="0"/>
          <w:position w:val="0"/>
          <w:sz w:val="21"/>
          <w:u w:val="none"/>
          <w:shd w:val="clear" w:fill="auto"/>
        </w:rPr>
        <w:t>151.14</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15.16</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11.15%</w:t>
      </w:r>
      <w:r>
        <w:rPr>
          <w:rFonts w:ascii="宋体" w:hAnsi="宋体" w:eastAsia="宋体" w:cs="宋体"/>
          <w:color w:val="auto"/>
          <w:spacing w:val="0"/>
          <w:position w:val="0"/>
          <w:sz w:val="21"/>
          <w:u w:val="none"/>
          <w:shd w:val="clear" w:fill="auto"/>
        </w:rPr>
        <w:t>。按业务类型划分本行发放贷款和垫款结构如下：</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9068" w:type="dxa"/>
        <w:tblInd w:w="93" w:type="dxa"/>
        <w:tblLayout w:type="autofit"/>
        <w:tblCellMar>
          <w:top w:w="0" w:type="dxa"/>
          <w:left w:w="10" w:type="dxa"/>
          <w:bottom w:w="0" w:type="dxa"/>
          <w:right w:w="10" w:type="dxa"/>
        </w:tblCellMar>
      </w:tblPr>
      <w:tblGrid>
        <w:gridCol w:w="3742"/>
        <w:gridCol w:w="1637"/>
        <w:gridCol w:w="1026"/>
        <w:gridCol w:w="1637"/>
        <w:gridCol w:w="1026"/>
      </w:tblGrid>
      <w:tr>
        <w:tblPrEx>
          <w:tblCellMar>
            <w:top w:w="0" w:type="dxa"/>
            <w:left w:w="10" w:type="dxa"/>
            <w:bottom w:w="0" w:type="dxa"/>
            <w:right w:w="10" w:type="dxa"/>
          </w:tblCellMar>
        </w:tblPrEx>
        <w:trPr>
          <w:trHeight w:val="0" w:hRule="atLeast"/>
        </w:trPr>
        <w:tc>
          <w:tcPr>
            <w:tcW w:w="3742"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663"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663"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26"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以摊余成本计量：</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个人贷款和垫款</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588,211.86</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37.42</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590,026.86</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42.03</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企业贷款和垫款</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822,373.32</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52.31</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697,787.84</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49.70</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贴现</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小计</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1,410,585.18</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89.73</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1,287,814.70</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91.73</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以公允价值计量且其变动计入其他综合收益：</w:t>
            </w:r>
          </w:p>
        </w:tc>
        <w:tc>
          <w:tcPr>
            <w:tcW w:w="1637" w:type="dxa"/>
            <w:tcBorders>
              <w:top w:val="single" w:color="000000" w:sz="0" w:space="0"/>
              <w:left w:val="single" w:color="000000" w:sz="0" w:space="0"/>
              <w:bottom w:val="single" w:color="000000" w:sz="0"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贴现</w:t>
            </w:r>
          </w:p>
        </w:tc>
        <w:tc>
          <w:tcPr>
            <w:tcW w:w="1637"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161,473.16</w:t>
            </w:r>
          </w:p>
        </w:tc>
        <w:tc>
          <w:tcPr>
            <w:tcW w:w="1026"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10.27</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116,169.32</w:t>
            </w:r>
          </w:p>
        </w:tc>
        <w:tc>
          <w:tcPr>
            <w:tcW w:w="1026"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8.27</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企业贷款和垫款</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小计</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161,473.16</w:t>
            </w:r>
          </w:p>
        </w:tc>
        <w:tc>
          <w:tcPr>
            <w:tcW w:w="1026"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10.27</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116,169.32</w:t>
            </w:r>
          </w:p>
        </w:tc>
        <w:tc>
          <w:tcPr>
            <w:tcW w:w="1026"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8.27</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合计</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1,572,058.34</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1,403,984.02</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w:t>
            </w: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应计利息</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2,257.47</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2,377.86</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发放贷款和垫款总额</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1,574,315.81</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1,406,361.88</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减：以摊余成本计量的贷款减值准备</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62,932.33</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46,541.96</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发放贷款和垫款账面价值</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1,511,383.48</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1,359,819.92</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374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以公允价值计量且其变动计入其他综合收益的贷款减值准备</w:t>
            </w: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74.13</w:t>
            </w:r>
          </w:p>
        </w:tc>
        <w:tc>
          <w:tcPr>
            <w:tcW w:w="102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3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51.21</w:t>
            </w:r>
          </w:p>
        </w:tc>
        <w:tc>
          <w:tcPr>
            <w:tcW w:w="1026"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u w:val="none"/>
                <w:shd w:val="clear" w:fill="auto"/>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both"/>
        <w:textAlignment w:val="auto"/>
        <w:rPr>
          <w:rFonts w:ascii="宋体" w:hAnsi="宋体" w:eastAsia="宋体" w:cs="宋体"/>
          <w:b/>
          <w:color w:val="auto"/>
          <w:spacing w:val="9"/>
          <w:position w:val="0"/>
          <w:sz w:val="18"/>
          <w:u w:val="none"/>
          <w:shd w:val="clear" w:fill="auto"/>
        </w:rPr>
      </w:pPr>
      <w:r>
        <w:rPr>
          <w:rFonts w:ascii="宋体" w:hAnsi="宋体" w:eastAsia="宋体" w:cs="宋体"/>
          <w:b/>
          <w:color w:val="auto"/>
          <w:spacing w:val="9"/>
          <w:position w:val="0"/>
          <w:sz w:val="18"/>
          <w:u w:val="none"/>
          <w:shd w:val="clear" w:fill="auto"/>
        </w:rPr>
        <w:t>注1：因2022年1月1日实施新金融工具准则，本行的贴现业务划分为以公允价值计量且其变动计入其他综合收益的发放贷款和垫款。</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2.</w:t>
      </w:r>
      <w:r>
        <w:rPr>
          <w:rFonts w:ascii="宋体" w:hAnsi="宋体" w:eastAsia="宋体" w:cs="宋体"/>
          <w:color w:val="auto"/>
          <w:spacing w:val="0"/>
          <w:position w:val="0"/>
          <w:sz w:val="21"/>
          <w:u w:val="none"/>
          <w:shd w:val="clear" w:fill="auto"/>
        </w:rPr>
        <w:t>存拆放同业及其他金融机构款项和买入返售金融资产</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截至报告期末，本行存拆放同业及其他金融机构款项和买入返售金融资产余额合计</w:t>
      </w:r>
      <w:r>
        <w:rPr>
          <w:rFonts w:ascii="Calibri" w:hAnsi="Calibri" w:eastAsia="Calibri" w:cs="Calibri"/>
          <w:color w:val="auto"/>
          <w:spacing w:val="0"/>
          <w:position w:val="0"/>
          <w:sz w:val="21"/>
          <w:u w:val="none"/>
          <w:shd w:val="clear" w:fill="auto"/>
        </w:rPr>
        <w:t>7.96</w:t>
      </w:r>
      <w:r>
        <w:rPr>
          <w:rFonts w:ascii="宋体" w:hAnsi="宋体" w:eastAsia="宋体" w:cs="宋体"/>
          <w:color w:val="auto"/>
          <w:spacing w:val="0"/>
          <w:position w:val="0"/>
          <w:sz w:val="21"/>
          <w:u w:val="none"/>
          <w:shd w:val="clear" w:fill="auto"/>
        </w:rPr>
        <w:t>亿元，同比减少</w:t>
      </w:r>
      <w:r>
        <w:rPr>
          <w:rFonts w:ascii="Calibri" w:hAnsi="Calibri" w:eastAsia="Calibri" w:cs="Calibri"/>
          <w:color w:val="auto"/>
          <w:spacing w:val="0"/>
          <w:position w:val="0"/>
          <w:sz w:val="21"/>
          <w:u w:val="none"/>
          <w:shd w:val="clear" w:fill="auto"/>
        </w:rPr>
        <w:t>7.41</w:t>
      </w:r>
      <w:r>
        <w:rPr>
          <w:rFonts w:ascii="宋体" w:hAnsi="宋体" w:eastAsia="宋体" w:cs="宋体"/>
          <w:color w:val="auto"/>
          <w:spacing w:val="0"/>
          <w:position w:val="0"/>
          <w:sz w:val="21"/>
          <w:u w:val="none"/>
          <w:shd w:val="clear" w:fill="auto"/>
        </w:rPr>
        <w:t>亿元，降幅</w:t>
      </w:r>
      <w:r>
        <w:rPr>
          <w:rFonts w:ascii="Calibri" w:hAnsi="Calibri" w:eastAsia="Calibri" w:cs="Calibri"/>
          <w:color w:val="auto"/>
          <w:spacing w:val="0"/>
          <w:position w:val="0"/>
          <w:sz w:val="21"/>
          <w:u w:val="none"/>
          <w:shd w:val="clear" w:fill="auto"/>
        </w:rPr>
        <w:t>48.21%</w:t>
      </w:r>
      <w:r>
        <w:rPr>
          <w:rFonts w:ascii="宋体" w:hAnsi="宋体" w:eastAsia="宋体" w:cs="宋体"/>
          <w:color w:val="auto"/>
          <w:spacing w:val="0"/>
          <w:position w:val="0"/>
          <w:sz w:val="21"/>
          <w:u w:val="none"/>
          <w:shd w:val="clear" w:fill="auto"/>
        </w:rPr>
        <w:t>。</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53"/>
        <w:gridCol w:w="1609"/>
        <w:gridCol w:w="1040"/>
        <w:gridCol w:w="1619"/>
        <w:gridCol w:w="1040"/>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存放同业及其他金融机构款项</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28,277.98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35.54</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27,117.00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17.64</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拆出资金</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51,293.76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64.46</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126,575.52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82.36</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买入返售金融资产</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18"/>
                <w:u w:val="none"/>
                <w:shd w:val="clear" w:fill="auto"/>
              </w:rPr>
              <w:t>合计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79,571.74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153,692.52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r>
    </w:tbl>
    <w:p>
      <w:pPr>
        <w:spacing w:before="0" w:after="0" w:line="240" w:lineRule="auto"/>
        <w:ind w:left="0" w:right="0" w:firstLine="0"/>
        <w:jc w:val="both"/>
        <w:rPr>
          <w:rFonts w:ascii="Times New Roman" w:hAnsi="Times New Roman" w:eastAsia="Times New Roman" w:cs="Times New Roman"/>
          <w:color w:val="C00000"/>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3.</w:t>
      </w:r>
      <w:r>
        <w:rPr>
          <w:rFonts w:ascii="宋体" w:hAnsi="宋体" w:eastAsia="宋体" w:cs="宋体"/>
          <w:color w:val="auto"/>
          <w:spacing w:val="0"/>
          <w:position w:val="0"/>
          <w:sz w:val="21"/>
          <w:u w:val="none"/>
          <w:shd w:val="clear" w:fill="auto"/>
        </w:rPr>
        <w:t>投资</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截至报告期末，本行投资余额为</w:t>
      </w:r>
      <w:r>
        <w:rPr>
          <w:rFonts w:ascii="Calibri" w:hAnsi="Calibri" w:eastAsia="Calibri" w:cs="Calibri"/>
          <w:color w:val="auto"/>
          <w:spacing w:val="0"/>
          <w:position w:val="0"/>
          <w:sz w:val="21"/>
          <w:u w:val="none"/>
          <w:shd w:val="clear" w:fill="auto"/>
        </w:rPr>
        <w:t>70.77</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15.89</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28.95%</w:t>
      </w:r>
      <w:r>
        <w:rPr>
          <w:rFonts w:ascii="宋体" w:hAnsi="宋体" w:eastAsia="宋体" w:cs="宋体"/>
          <w:color w:val="auto"/>
          <w:spacing w:val="0"/>
          <w:position w:val="0"/>
          <w:sz w:val="21"/>
          <w:u w:val="none"/>
          <w:shd w:val="clear" w:fill="auto"/>
        </w:rPr>
        <w:t>。按持有目的划分投资结构如下：</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46"/>
        <w:gridCol w:w="1618"/>
        <w:gridCol w:w="1039"/>
        <w:gridCol w:w="1618"/>
        <w:gridCol w:w="1040"/>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交易性金融资产</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债权投资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620,497.95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87.68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462,274.98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84.23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其他债权投资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77,836.49</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11.00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77,123.96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14.05</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其他权益工具投资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长期股权投资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9,367.45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1.32</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9,404.17</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1.72</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可供出售金融资产</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持有至到期投资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应收款项类投资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合计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707,701.89</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548,803.11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100.00</w:t>
            </w:r>
          </w:p>
        </w:tc>
      </w:tr>
    </w:tbl>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2</w:t>
      </w:r>
      <w:r>
        <w:rPr>
          <w:rFonts w:ascii="宋体" w:hAnsi="宋体" w:eastAsia="宋体" w:cs="宋体"/>
          <w:color w:val="auto"/>
          <w:spacing w:val="0"/>
          <w:position w:val="0"/>
          <w:sz w:val="21"/>
          <w:u w:val="none"/>
          <w:shd w:val="clear" w:fill="auto"/>
        </w:rPr>
        <w:t>）负债</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截至报告期末，本行负债总额</w:t>
      </w:r>
      <w:r>
        <w:rPr>
          <w:rFonts w:ascii="Calibri" w:hAnsi="Calibri" w:eastAsia="Calibri" w:cs="Calibri"/>
          <w:color w:val="auto"/>
          <w:spacing w:val="0"/>
          <w:position w:val="0"/>
          <w:sz w:val="21"/>
          <w:u w:val="none"/>
          <w:shd w:val="clear" w:fill="auto"/>
        </w:rPr>
        <w:t>229.13</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20.7</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9.93%</w:t>
      </w:r>
      <w:r>
        <w:rPr>
          <w:rFonts w:ascii="宋体" w:hAnsi="宋体" w:eastAsia="宋体" w:cs="宋体"/>
          <w:color w:val="auto"/>
          <w:spacing w:val="0"/>
          <w:position w:val="0"/>
          <w:sz w:val="21"/>
          <w:u w:val="none"/>
          <w:shd w:val="clear" w:fill="auto"/>
        </w:rPr>
        <w:t>。</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1.</w:t>
      </w:r>
      <w:r>
        <w:rPr>
          <w:rFonts w:ascii="宋体" w:hAnsi="宋体" w:eastAsia="宋体" w:cs="宋体"/>
          <w:color w:val="auto"/>
          <w:spacing w:val="0"/>
          <w:position w:val="0"/>
          <w:sz w:val="21"/>
          <w:u w:val="none"/>
          <w:shd w:val="clear" w:fill="auto"/>
        </w:rPr>
        <w:t>客户存款</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截至报告期末，本行客户存款总额</w:t>
      </w:r>
      <w:r>
        <w:rPr>
          <w:rFonts w:ascii="Calibri" w:hAnsi="Calibri" w:eastAsia="Calibri" w:cs="Calibri"/>
          <w:color w:val="auto"/>
          <w:spacing w:val="0"/>
          <w:position w:val="0"/>
          <w:sz w:val="21"/>
          <w:u w:val="none"/>
          <w:shd w:val="clear" w:fill="auto"/>
        </w:rPr>
        <w:t>211.83</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16.63</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8.52%</w:t>
      </w:r>
      <w:r>
        <w:rPr>
          <w:rFonts w:ascii="宋体" w:hAnsi="宋体" w:eastAsia="宋体" w:cs="宋体"/>
          <w:color w:val="auto"/>
          <w:spacing w:val="0"/>
          <w:position w:val="0"/>
          <w:sz w:val="21"/>
          <w:u w:val="none"/>
          <w:shd w:val="clear" w:fill="auto"/>
        </w:rPr>
        <w:t>。</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13"/>
        <w:gridCol w:w="1637"/>
        <w:gridCol w:w="1037"/>
        <w:gridCol w:w="1637"/>
        <w:gridCol w:w="1037"/>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活期存款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公司客户</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161,693.43</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7.63</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167,983.68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8.61</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个人客户</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205,032.17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9.68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207,509.42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10.63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366,725.60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17.31</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375,493.10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19.24</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b/>
                <w:color w:val="auto"/>
                <w:spacing w:val="0"/>
                <w:position w:val="0"/>
                <w:sz w:val="20"/>
                <w:szCs w:val="20"/>
                <w:u w:val="none"/>
                <w:shd w:val="clear" w:fill="auto"/>
              </w:rPr>
              <w:t>定期存款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公司客户</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104,258.93</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4.92</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117,181.91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6.00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个人客户</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1,629,660.63</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76.93</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1,445,008.90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74.03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1,733,919.56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81.85</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1,562,190.81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80.03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保证金存款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4,326.54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0.21</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6,506.13</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0.33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银行卡存款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49.56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45.20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0.00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财政性存款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13,305.65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0.63</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7,752.65</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0.40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应解汇款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2.73</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2.66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0.00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合计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2,118,329.64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1,951,990.55</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z w:val="20"/>
                <w:szCs w:val="20"/>
                <w:u w:val="none"/>
                <w:shd w:val="clear" w:fill="auto"/>
              </w:rPr>
            </w:pPr>
            <w:r>
              <w:rPr>
                <w:rFonts w:ascii="宋体" w:hAnsi="宋体" w:eastAsia="宋体" w:cs="宋体"/>
                <w:color w:val="auto"/>
                <w:spacing w:val="0"/>
                <w:position w:val="0"/>
                <w:sz w:val="20"/>
                <w:szCs w:val="20"/>
                <w:u w:val="none"/>
                <w:shd w:val="clear" w:fill="auto"/>
              </w:rPr>
              <w:t>100.00</w:t>
            </w:r>
          </w:p>
        </w:tc>
      </w:tr>
    </w:tbl>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2.</w:t>
      </w:r>
      <w:r>
        <w:rPr>
          <w:rFonts w:ascii="宋体" w:hAnsi="宋体" w:eastAsia="宋体" w:cs="宋体"/>
          <w:color w:val="auto"/>
          <w:spacing w:val="0"/>
          <w:position w:val="0"/>
          <w:sz w:val="21"/>
          <w:u w:val="none"/>
          <w:shd w:val="clear" w:fill="auto"/>
        </w:rPr>
        <w:t>同业及其他金融机构存拆入款项和卖出回购款项</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截至报告期末，本行同业及其他金融机构存拆入款项和卖出回购款项余额合计</w:t>
      </w:r>
      <w:r>
        <w:rPr>
          <w:rFonts w:ascii="Calibri" w:hAnsi="Calibri" w:eastAsia="Calibri" w:cs="Calibri"/>
          <w:color w:val="auto"/>
          <w:spacing w:val="0"/>
          <w:position w:val="0"/>
          <w:sz w:val="21"/>
          <w:u w:val="none"/>
          <w:shd w:val="clear" w:fill="auto"/>
        </w:rPr>
        <w:t>5.21</w:t>
      </w:r>
      <w:r>
        <w:rPr>
          <w:rFonts w:ascii="宋体" w:hAnsi="宋体" w:eastAsia="宋体" w:cs="宋体"/>
          <w:color w:val="auto"/>
          <w:spacing w:val="0"/>
          <w:position w:val="0"/>
          <w:sz w:val="21"/>
          <w:u w:val="none"/>
          <w:shd w:val="clear" w:fill="auto"/>
        </w:rPr>
        <w:t>亿元，</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同比增加</w:t>
      </w:r>
      <w:r>
        <w:rPr>
          <w:rFonts w:ascii="Calibri" w:hAnsi="Calibri" w:eastAsia="Calibri" w:cs="Calibri"/>
          <w:color w:val="auto"/>
          <w:spacing w:val="0"/>
          <w:position w:val="0"/>
          <w:sz w:val="21"/>
          <w:u w:val="none"/>
          <w:shd w:val="clear" w:fill="auto"/>
        </w:rPr>
        <w:t>1.81</w:t>
      </w:r>
      <w:r>
        <w:rPr>
          <w:rFonts w:ascii="宋体" w:hAnsi="宋体" w:eastAsia="宋体" w:cs="宋体"/>
          <w:color w:val="auto"/>
          <w:spacing w:val="0"/>
          <w:position w:val="0"/>
          <w:sz w:val="21"/>
          <w:u w:val="none"/>
          <w:shd w:val="clear" w:fill="auto"/>
        </w:rPr>
        <w:t>亿元，增幅</w:t>
      </w:r>
      <w:r>
        <w:rPr>
          <w:rFonts w:ascii="Calibri" w:hAnsi="Calibri" w:eastAsia="Calibri" w:cs="Calibri"/>
          <w:color w:val="auto"/>
          <w:spacing w:val="0"/>
          <w:position w:val="0"/>
          <w:sz w:val="21"/>
          <w:u w:val="none"/>
          <w:shd w:val="clear" w:fill="auto"/>
        </w:rPr>
        <w:t>53.12%.</w:t>
      </w:r>
      <w:r>
        <w:rPr>
          <w:rFonts w:ascii="宋体" w:hAnsi="宋体" w:eastAsia="宋体" w:cs="宋体"/>
          <w:color w:val="auto"/>
          <w:spacing w:val="0"/>
          <w:position w:val="0"/>
          <w:sz w:val="21"/>
          <w:u w:val="none"/>
          <w:shd w:val="clear" w:fill="auto"/>
        </w:rPr>
        <w:t>具体构成如下：</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60"/>
        <w:gridCol w:w="1610"/>
        <w:gridCol w:w="1040"/>
        <w:gridCol w:w="1610"/>
        <w:gridCol w:w="1041"/>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同业及其他金融机构存放款项</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2,120.28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4.07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4,037.98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11.86</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拆入资金</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卖出回购款项</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50,000.00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95.93</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30,000.00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88.14</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52,120.28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34,037.98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r>
    </w:tbl>
    <w:p>
      <w:pPr>
        <w:spacing w:before="0" w:after="0" w:line="240" w:lineRule="auto"/>
        <w:ind w:left="0" w:right="0" w:firstLine="0"/>
        <w:jc w:val="both"/>
        <w:rPr>
          <w:rFonts w:ascii="Times New Roman" w:hAnsi="Times New Roman" w:eastAsia="Times New Roman" w:cs="Times New Roman"/>
          <w:color w:val="auto"/>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3</w:t>
      </w:r>
      <w:r>
        <w:rPr>
          <w:rFonts w:ascii="宋体" w:hAnsi="宋体" w:eastAsia="宋体" w:cs="宋体"/>
          <w:color w:val="auto"/>
          <w:spacing w:val="0"/>
          <w:position w:val="0"/>
          <w:sz w:val="21"/>
          <w:u w:val="none"/>
          <w:shd w:val="clear" w:fill="auto"/>
        </w:rPr>
        <w:t>）所有者权益</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截至报告期末，本行所有者权益</w:t>
      </w:r>
      <w:r>
        <w:rPr>
          <w:rFonts w:ascii="Calibri" w:hAnsi="Calibri" w:eastAsia="Calibri" w:cs="Calibri"/>
          <w:color w:val="auto"/>
          <w:spacing w:val="0"/>
          <w:position w:val="0"/>
          <w:sz w:val="21"/>
          <w:u w:val="none"/>
          <w:shd w:val="clear" w:fill="auto"/>
        </w:rPr>
        <w:t>16.24</w:t>
      </w:r>
      <w:r>
        <w:rPr>
          <w:rFonts w:ascii="宋体" w:hAnsi="宋体" w:eastAsia="宋体" w:cs="宋体"/>
          <w:color w:val="auto"/>
          <w:spacing w:val="0"/>
          <w:position w:val="0"/>
          <w:sz w:val="21"/>
          <w:u w:val="none"/>
          <w:shd w:val="clear" w:fill="auto"/>
        </w:rPr>
        <w:t>亿元，同比增加</w:t>
      </w:r>
      <w:r>
        <w:rPr>
          <w:rFonts w:ascii="Calibri" w:hAnsi="Calibri" w:eastAsia="Calibri" w:cs="Calibri"/>
          <w:color w:val="auto"/>
          <w:spacing w:val="0"/>
          <w:position w:val="0"/>
          <w:sz w:val="21"/>
          <w:u w:val="none"/>
          <w:shd w:val="clear" w:fill="auto"/>
        </w:rPr>
        <w:t>0.27</w:t>
      </w:r>
      <w:r>
        <w:rPr>
          <w:rFonts w:ascii="宋体" w:hAnsi="宋体" w:eastAsia="宋体" w:cs="宋体"/>
          <w:color w:val="auto"/>
          <w:spacing w:val="0"/>
          <w:position w:val="0"/>
          <w:sz w:val="21"/>
          <w:u w:val="none"/>
          <w:shd w:val="clear" w:fill="auto"/>
        </w:rPr>
        <w:t>亿元，增长</w:t>
      </w:r>
      <w:r>
        <w:rPr>
          <w:rFonts w:ascii="Calibri" w:hAnsi="Calibri" w:eastAsia="Calibri" w:cs="Calibri"/>
          <w:color w:val="auto"/>
          <w:spacing w:val="0"/>
          <w:position w:val="0"/>
          <w:sz w:val="21"/>
          <w:u w:val="none"/>
          <w:shd w:val="clear" w:fill="auto"/>
        </w:rPr>
        <w:t>1.62%</w:t>
      </w:r>
      <w:r>
        <w:rPr>
          <w:rFonts w:ascii="宋体" w:hAnsi="宋体" w:eastAsia="宋体" w:cs="宋体"/>
          <w:color w:val="auto"/>
          <w:spacing w:val="0"/>
          <w:position w:val="0"/>
          <w:sz w:val="21"/>
          <w:u w:val="none"/>
          <w:shd w:val="clear" w:fill="auto"/>
        </w:rPr>
        <w:t>。具体构成如下：</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46"/>
        <w:gridCol w:w="1618"/>
        <w:gridCol w:w="1039"/>
        <w:gridCol w:w="1618"/>
        <w:gridCol w:w="1040"/>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股本</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54.19</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88,000.00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53.31</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资本公积</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其他综合收益</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1,257.55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0.77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1,032.05</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0.62</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盈余公积</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12,140.96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7.48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11,532.48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6.99</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一般风险准备</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32,266.92</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19.87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30,796.92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18.66</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未分配利润</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28,733.12</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17.69</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33,706.91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20.42</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所有者权益合计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162,398.55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165,068.36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r>
    </w:tbl>
    <w:p>
      <w:pPr>
        <w:widowControl w:val="0"/>
        <w:spacing w:before="0" w:after="0" w:line="240" w:lineRule="auto"/>
        <w:ind w:left="0" w:right="0" w:firstLine="0"/>
        <w:jc w:val="left"/>
        <w:rPr>
          <w:rFonts w:ascii="楷体" w:hAnsi="楷体" w:eastAsia="楷体" w:cs="楷体"/>
          <w:b/>
          <w:color w:val="C00000"/>
          <w:spacing w:val="-3"/>
          <w:position w:val="0"/>
          <w:sz w:val="30"/>
          <w:u w:val="none"/>
          <w:shd w:val="clear" w:fill="auto"/>
        </w:rPr>
      </w:pP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Calibri" w:hAnsi="Calibri" w:eastAsia="Calibri" w:cs="Calibri"/>
          <w:b/>
          <w:color w:val="auto"/>
          <w:spacing w:val="0"/>
          <w:position w:val="0"/>
          <w:sz w:val="21"/>
          <w:u w:val="none"/>
          <w:shd w:val="clear" w:fill="auto"/>
        </w:rPr>
        <w:t>2.</w:t>
      </w:r>
      <w:r>
        <w:rPr>
          <w:rFonts w:ascii="宋体" w:hAnsi="宋体" w:eastAsia="宋体" w:cs="宋体"/>
          <w:b/>
          <w:color w:val="auto"/>
          <w:spacing w:val="0"/>
          <w:position w:val="0"/>
          <w:sz w:val="21"/>
          <w:u w:val="none"/>
          <w:shd w:val="clear" w:fill="auto"/>
        </w:rPr>
        <w:t>利润表分析</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Calibri" w:hAnsi="Calibri" w:eastAsia="Calibri" w:cs="Calibri"/>
          <w:color w:val="auto"/>
          <w:spacing w:val="0"/>
          <w:position w:val="0"/>
          <w:sz w:val="21"/>
          <w:u w:val="none"/>
          <w:shd w:val="clear" w:fill="auto"/>
        </w:rPr>
        <w:t>2023</w:t>
      </w:r>
      <w:r>
        <w:rPr>
          <w:rFonts w:ascii="宋体" w:hAnsi="宋体" w:eastAsia="宋体" w:cs="宋体"/>
          <w:color w:val="auto"/>
          <w:spacing w:val="0"/>
          <w:position w:val="0"/>
          <w:sz w:val="21"/>
          <w:u w:val="none"/>
          <w:shd w:val="clear" w:fill="auto"/>
        </w:rPr>
        <w:t>年，本行继续践行服务实体经济、普惠金融的理念，加大实体贷款的投放力度。报告期内，本行实现营业净收入</w:t>
      </w:r>
      <w:r>
        <w:rPr>
          <w:rFonts w:ascii="Calibri" w:hAnsi="Calibri" w:eastAsia="Calibri" w:cs="Calibri"/>
          <w:color w:val="auto"/>
          <w:spacing w:val="0"/>
          <w:position w:val="0"/>
          <w:sz w:val="21"/>
          <w:u w:val="none"/>
          <w:shd w:val="clear" w:fill="auto"/>
        </w:rPr>
        <w:t>5.75</w:t>
      </w:r>
      <w:r>
        <w:rPr>
          <w:rFonts w:ascii="宋体" w:hAnsi="宋体" w:eastAsia="宋体" w:cs="宋体"/>
          <w:color w:val="auto"/>
          <w:spacing w:val="0"/>
          <w:position w:val="0"/>
          <w:sz w:val="21"/>
          <w:u w:val="none"/>
          <w:shd w:val="clear" w:fill="auto"/>
        </w:rPr>
        <w:t>亿元，同比减少</w:t>
      </w:r>
      <w:r>
        <w:rPr>
          <w:rFonts w:ascii="Calibri" w:hAnsi="Calibri" w:eastAsia="Calibri" w:cs="Calibri"/>
          <w:color w:val="auto"/>
          <w:spacing w:val="0"/>
          <w:position w:val="0"/>
          <w:sz w:val="21"/>
          <w:u w:val="none"/>
          <w:shd w:val="clear" w:fill="auto"/>
        </w:rPr>
        <w:t>0.2</w:t>
      </w:r>
      <w:r>
        <w:rPr>
          <w:rFonts w:ascii="宋体" w:hAnsi="宋体" w:eastAsia="宋体" w:cs="宋体"/>
          <w:color w:val="auto"/>
          <w:spacing w:val="0"/>
          <w:position w:val="0"/>
          <w:sz w:val="21"/>
          <w:u w:val="none"/>
          <w:shd w:val="clear" w:fill="auto"/>
        </w:rPr>
        <w:t>亿元；实现税前利润</w:t>
      </w:r>
      <w:r>
        <w:rPr>
          <w:rFonts w:ascii="Calibri" w:hAnsi="Calibri" w:eastAsia="Calibri" w:cs="Calibri"/>
          <w:color w:val="auto"/>
          <w:spacing w:val="0"/>
          <w:position w:val="0"/>
          <w:sz w:val="21"/>
          <w:u w:val="none"/>
          <w:shd w:val="clear" w:fill="auto"/>
        </w:rPr>
        <w:t>0.79</w:t>
      </w:r>
      <w:r>
        <w:rPr>
          <w:rFonts w:ascii="宋体" w:hAnsi="宋体" w:eastAsia="宋体" w:cs="宋体"/>
          <w:color w:val="auto"/>
          <w:spacing w:val="0"/>
          <w:position w:val="0"/>
          <w:sz w:val="21"/>
          <w:u w:val="none"/>
          <w:shd w:val="clear" w:fill="auto"/>
        </w:rPr>
        <w:t>亿元，同比较减少</w:t>
      </w:r>
      <w:r>
        <w:rPr>
          <w:rFonts w:ascii="Calibri" w:hAnsi="Calibri" w:eastAsia="Calibri" w:cs="Calibri"/>
          <w:color w:val="auto"/>
          <w:spacing w:val="0"/>
          <w:position w:val="0"/>
          <w:sz w:val="21"/>
          <w:u w:val="none"/>
          <w:shd w:val="clear" w:fill="auto"/>
        </w:rPr>
        <w:t>0.82</w:t>
      </w:r>
      <w:r>
        <w:rPr>
          <w:rFonts w:ascii="宋体" w:hAnsi="宋体" w:eastAsia="宋体" w:cs="宋体"/>
          <w:color w:val="auto"/>
          <w:spacing w:val="0"/>
          <w:position w:val="0"/>
          <w:sz w:val="21"/>
          <w:u w:val="none"/>
          <w:shd w:val="clear" w:fill="auto"/>
        </w:rPr>
        <w:t>亿元。</w:t>
      </w:r>
    </w:p>
    <w:p>
      <w:pPr>
        <w:spacing w:before="0" w:after="0" w:line="240" w:lineRule="auto"/>
        <w:ind w:left="0" w:right="0" w:firstLine="0"/>
        <w:jc w:val="center"/>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利润表主要项目占比</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80"/>
        <w:gridCol w:w="1610"/>
        <w:gridCol w:w="1030"/>
        <w:gridCol w:w="1610"/>
        <w:gridCol w:w="1031"/>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营业收入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57,502.21</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59,456.49</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其中：利息净收入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54,411.10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94.63</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57,554.51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96.80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手续费及佣金净收入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260.77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0.45</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-166.34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-0.28</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投资收益</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2,701.67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4.70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1,846.23</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3.11</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其他业务收入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128.67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0.22</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222.09</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0.37</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营业支出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49,633.05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44,053.47</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其中：税金及附加</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620.67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1.25</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617.23</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业务及管理费</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23,711.60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47.77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24,635.20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55.92</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资产减值损失</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25,300.77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50.98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18,801.04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42.68</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税前利润</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7,850.46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16,098.00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净利润</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6,084.85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11,768.24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bl>
    <w:p>
      <w:pPr>
        <w:spacing w:before="0" w:after="0" w:line="240" w:lineRule="auto"/>
        <w:ind w:left="0" w:right="0" w:firstLine="0"/>
        <w:jc w:val="both"/>
        <w:rPr>
          <w:rFonts w:ascii="Times New Roman" w:hAnsi="Times New Roman" w:eastAsia="Times New Roman" w:cs="Times New Roman"/>
          <w:color w:val="auto"/>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1</w:t>
      </w:r>
      <w:r>
        <w:rPr>
          <w:rFonts w:ascii="宋体" w:hAnsi="宋体" w:eastAsia="宋体" w:cs="宋体"/>
          <w:color w:val="auto"/>
          <w:spacing w:val="0"/>
          <w:position w:val="0"/>
          <w:sz w:val="21"/>
          <w:u w:val="none"/>
          <w:shd w:val="clear" w:fill="auto"/>
        </w:rPr>
        <w:t>）利息净收入</w:t>
      </w:r>
      <w:r>
        <w:rPr>
          <w:rFonts w:ascii="Calibri" w:hAnsi="Calibri" w:eastAsia="Calibri" w:cs="Calibri"/>
          <w:color w:val="auto"/>
          <w:spacing w:val="0"/>
          <w:position w:val="0"/>
          <w:sz w:val="21"/>
          <w:u w:val="none"/>
          <w:shd w:val="clear" w:fill="auto"/>
        </w:rPr>
        <w:tab/>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659"/>
        <w:gridCol w:w="1614"/>
        <w:gridCol w:w="1037"/>
        <w:gridCol w:w="1614"/>
        <w:gridCol w:w="1037"/>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利息收入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其中：发放贷款及垫款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79,096.35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72.27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77,841.70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70.73</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转（再）贴现</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3,447.07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3.15</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2,745.74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2.49</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存放同业/拆放同业</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2,170.76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4,851.66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4.41</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tabs>
                <w:tab w:val="center" w:pos="1902"/>
              </w:tabs>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存放中央银行</w:t>
            </w:r>
            <w:r>
              <w:rPr>
                <w:rFonts w:ascii="宋体" w:hAnsi="宋体" w:eastAsia="宋体" w:cs="宋体"/>
                <w:color w:val="auto"/>
                <w:spacing w:val="0"/>
                <w:position w:val="0"/>
                <w:sz w:val="20"/>
                <w:u w:val="none"/>
                <w:shd w:val="clear" w:fill="auto"/>
              </w:rPr>
              <w:tab/>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1,799.68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1.64</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1,869.66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1.70</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买入返售金融资产</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302.18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0.28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84.09</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0.08</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银行卡分期付款收入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债券投资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15,624.37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14.28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18,422.68</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16.74</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同业存单投资</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7,000.44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6.40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4,232.32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3.85</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资产支持证券</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其他</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109,440.84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110,047.85</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利息支出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其中：吸收存款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51,346.94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93.31</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49,041.07</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93.42</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发行债券及同业存单</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528.70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0.96</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245.25</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0.47</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同业存放/同业拆入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52.35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0.09</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250.69</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0.48</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卖出回购金融资产</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925.86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1.68</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893.50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1.70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向中央银行借款</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1,093.08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1.99</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987.76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1.88</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转（再）贴现利息支出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1,082.79</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1.97</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1,075.07</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2.05</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债券借贷业务支出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其他金融机构往来支出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租赁利息支出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未确认融资费用</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55,029.74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52,493.34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100.00</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利息净收入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54,411.10</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57,554.51</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bl>
    <w:p>
      <w:pPr>
        <w:spacing w:before="0" w:after="0" w:line="240" w:lineRule="auto"/>
        <w:ind w:left="0" w:right="0" w:firstLine="0"/>
        <w:jc w:val="left"/>
        <w:rPr>
          <w:rFonts w:ascii="宋体" w:hAnsi="宋体" w:eastAsia="宋体" w:cs="宋体"/>
          <w:b/>
          <w:color w:val="C00000"/>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2</w:t>
      </w:r>
      <w:r>
        <w:rPr>
          <w:rFonts w:ascii="宋体" w:hAnsi="宋体" w:eastAsia="宋体" w:cs="宋体"/>
          <w:color w:val="auto"/>
          <w:spacing w:val="0"/>
          <w:position w:val="0"/>
          <w:sz w:val="21"/>
          <w:u w:val="none"/>
          <w:shd w:val="clear" w:fill="auto"/>
        </w:rPr>
        <w:t>）手续费及佣金净收入</w:t>
      </w:r>
    </w:p>
    <w:p>
      <w:pPr>
        <w:spacing w:before="0" w:after="0" w:line="240" w:lineRule="auto"/>
        <w:ind w:left="0" w:right="0" w:firstLine="0"/>
        <w:jc w:val="right"/>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单位：万元，人民币，</w:t>
      </w:r>
      <w:r>
        <w:rPr>
          <w:rFonts w:ascii="Calibri" w:hAnsi="Calibri" w:eastAsia="Calibri" w:cs="Calibri"/>
          <w:color w:val="auto"/>
          <w:spacing w:val="0"/>
          <w:position w:val="0"/>
          <w:sz w:val="21"/>
          <w:u w:val="none"/>
          <w:shd w:val="clear" w:fill="auto"/>
        </w:rPr>
        <w:t>%</w:t>
      </w:r>
    </w:p>
    <w:tbl>
      <w:tblPr>
        <w:tblStyle w:val="10"/>
        <w:tblW w:w="0" w:type="auto"/>
        <w:tblInd w:w="93" w:type="dxa"/>
        <w:tblLayout w:type="autofit"/>
        <w:tblCellMar>
          <w:top w:w="0" w:type="dxa"/>
          <w:left w:w="10" w:type="dxa"/>
          <w:bottom w:w="0" w:type="dxa"/>
          <w:right w:w="10" w:type="dxa"/>
        </w:tblCellMar>
      </w:tblPr>
      <w:tblGrid>
        <w:gridCol w:w="3739"/>
        <w:gridCol w:w="1595"/>
        <w:gridCol w:w="1012"/>
        <w:gridCol w:w="1603"/>
        <w:gridCol w:w="1012"/>
      </w:tblGrid>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项目</w:t>
            </w:r>
          </w:p>
        </w:tc>
        <w:tc>
          <w:tcPr>
            <w:tcW w:w="2730" w:type="dxa"/>
            <w:gridSpan w:val="2"/>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2023年12月31日</w:t>
            </w:r>
          </w:p>
        </w:tc>
        <w:tc>
          <w:tcPr>
            <w:tcW w:w="2730" w:type="dxa"/>
            <w:gridSpan w:val="2"/>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2022年12月31日</w:t>
            </w: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金额</w:t>
            </w:r>
          </w:p>
        </w:tc>
        <w:tc>
          <w:tcPr>
            <w:tcW w:w="1065" w:type="dxa"/>
            <w:tcBorders>
              <w:top w:val="single" w:color="000000" w:sz="8" w:space="0"/>
              <w:left w:val="single" w:color="000000" w:sz="0" w:space="0"/>
              <w:bottom w:val="single" w:color="000000" w:sz="8" w:space="0"/>
              <w:right w:val="single" w:color="000000"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占比</w:t>
            </w: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b/>
                <w:color w:val="auto"/>
                <w:spacing w:val="0"/>
                <w:position w:val="0"/>
                <w:sz w:val="20"/>
                <w:u w:val="none"/>
                <w:shd w:val="clear" w:fill="auto"/>
              </w:rPr>
              <w:t>手续费及佣金收入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其中：银行卡收入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487.89</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485.03</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委托贷款收入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结算业务收入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4.24</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4.82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担保业务收入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8"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代理业务收入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20.26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1.49</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理财业务收入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其他收入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116.56</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109.22</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小计</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628.95</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600.56</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手续费及佣金支出</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368.18</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766.90</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r>
        <w:tblPrEx>
          <w:tblCellMar>
            <w:top w:w="0" w:type="dxa"/>
            <w:left w:w="10" w:type="dxa"/>
            <w:bottom w:w="0" w:type="dxa"/>
            <w:right w:w="10" w:type="dxa"/>
          </w:tblCellMar>
        </w:tblPrEx>
        <w:trPr>
          <w:trHeight w:val="0" w:hRule="atLeast"/>
        </w:trPr>
        <w:tc>
          <w:tcPr>
            <w:tcW w:w="402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手续费及佣金净收入</w:t>
            </w: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260.77</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c>
          <w:tcPr>
            <w:tcW w:w="1665"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u w:val="none"/>
                <w:shd w:val="clear" w:fill="auto"/>
              </w:rPr>
            </w:pPr>
            <w:r>
              <w:rPr>
                <w:rFonts w:ascii="宋体" w:hAnsi="宋体" w:eastAsia="宋体" w:cs="宋体"/>
                <w:color w:val="auto"/>
                <w:spacing w:val="0"/>
                <w:position w:val="0"/>
                <w:sz w:val="20"/>
                <w:u w:val="none"/>
                <w:shd w:val="clear" w:fill="auto"/>
              </w:rPr>
              <w:t>-166.34</w:t>
            </w:r>
          </w:p>
        </w:tc>
        <w:tc>
          <w:tcPr>
            <w:tcW w:w="1065" w:type="dxa"/>
            <w:tcBorders>
              <w:top w:val="single" w:color="000000" w:sz="0" w:space="0"/>
              <w:left w:val="single" w:color="000000" w:sz="0" w:space="0"/>
              <w:bottom w:val="single" w:color="000000" w:sz="8" w:space="0"/>
              <w:right w:val="single" w:color="000000" w:sz="0"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u w:val="none"/>
                <w:shd w:val="clear" w:fill="auto"/>
              </w:rPr>
            </w:pPr>
          </w:p>
        </w:tc>
      </w:tr>
    </w:tbl>
    <w:p>
      <w:pPr>
        <w:spacing w:before="0" w:after="0" w:line="240" w:lineRule="auto"/>
        <w:ind w:left="0" w:right="0" w:firstLine="0"/>
        <w:jc w:val="both"/>
        <w:rPr>
          <w:rFonts w:ascii="Times New Roman" w:hAnsi="Times New Roman" w:eastAsia="Times New Roman" w:cs="Times New Roman"/>
          <w:color w:val="auto"/>
          <w:spacing w:val="0"/>
          <w:position w:val="0"/>
          <w:sz w:val="21"/>
          <w:u w:val="none"/>
          <w:shd w:val="clear" w:fill="auto"/>
        </w:rPr>
      </w:pP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3</w:t>
      </w:r>
      <w:r>
        <w:rPr>
          <w:rFonts w:ascii="宋体" w:hAnsi="宋体" w:eastAsia="宋体" w:cs="宋体"/>
          <w:color w:val="auto"/>
          <w:spacing w:val="0"/>
          <w:position w:val="0"/>
          <w:sz w:val="21"/>
          <w:u w:val="none"/>
          <w:shd w:val="clear" w:fill="auto"/>
        </w:rPr>
        <w:t>）投资收益</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报告期内，本行实现投资收益</w:t>
      </w:r>
      <w:r>
        <w:rPr>
          <w:rFonts w:ascii="Calibri" w:hAnsi="Calibri" w:eastAsia="Calibri" w:cs="Calibri"/>
          <w:color w:val="auto"/>
          <w:spacing w:val="0"/>
          <w:position w:val="0"/>
          <w:sz w:val="21"/>
          <w:u w:val="none"/>
          <w:shd w:val="clear" w:fill="auto"/>
        </w:rPr>
        <w:t>2701.67</w:t>
      </w:r>
      <w:r>
        <w:rPr>
          <w:rFonts w:ascii="宋体" w:hAnsi="宋体" w:eastAsia="宋体" w:cs="宋体"/>
          <w:color w:val="auto"/>
          <w:spacing w:val="0"/>
          <w:position w:val="0"/>
          <w:sz w:val="21"/>
          <w:u w:val="none"/>
          <w:shd w:val="clear" w:fill="auto"/>
        </w:rPr>
        <w:t>万元，同比增加</w:t>
      </w:r>
      <w:r>
        <w:rPr>
          <w:rFonts w:ascii="Calibri" w:hAnsi="Calibri" w:eastAsia="Calibri" w:cs="Calibri"/>
          <w:color w:val="auto"/>
          <w:spacing w:val="0"/>
          <w:position w:val="0"/>
          <w:sz w:val="21"/>
          <w:u w:val="none"/>
          <w:shd w:val="clear" w:fill="auto"/>
        </w:rPr>
        <w:t>855.44</w:t>
      </w:r>
      <w:r>
        <w:rPr>
          <w:rFonts w:ascii="宋体" w:hAnsi="宋体" w:eastAsia="宋体" w:cs="宋体"/>
          <w:color w:val="auto"/>
          <w:spacing w:val="0"/>
          <w:position w:val="0"/>
          <w:sz w:val="21"/>
          <w:u w:val="none"/>
          <w:shd w:val="clear" w:fill="auto"/>
        </w:rPr>
        <w:t>万元。</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4</w:t>
      </w:r>
      <w:r>
        <w:rPr>
          <w:rFonts w:ascii="宋体" w:hAnsi="宋体" w:eastAsia="宋体" w:cs="宋体"/>
          <w:color w:val="auto"/>
          <w:spacing w:val="0"/>
          <w:position w:val="0"/>
          <w:sz w:val="21"/>
          <w:u w:val="none"/>
          <w:shd w:val="clear" w:fill="auto"/>
        </w:rPr>
        <w:t>）业务及管理费用</w:t>
      </w:r>
      <w:r>
        <w:rPr>
          <w:rFonts w:ascii="Calibri" w:hAnsi="Calibri" w:eastAsia="Calibri" w:cs="Calibri"/>
          <w:color w:val="auto"/>
          <w:spacing w:val="0"/>
          <w:position w:val="0"/>
          <w:sz w:val="21"/>
          <w:u w:val="none"/>
          <w:shd w:val="clear" w:fill="auto"/>
        </w:rPr>
        <w:tab/>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报告期内，本行业务及管理费（含职工薪酬、资产折旧及摊销等）</w:t>
      </w:r>
      <w:r>
        <w:rPr>
          <w:rFonts w:ascii="Calibri" w:hAnsi="Calibri" w:eastAsia="Calibri" w:cs="Calibri"/>
          <w:color w:val="auto"/>
          <w:spacing w:val="0"/>
          <w:position w:val="0"/>
          <w:sz w:val="21"/>
          <w:u w:val="none"/>
          <w:shd w:val="clear" w:fill="auto"/>
        </w:rPr>
        <w:t>23711.60</w:t>
      </w:r>
      <w:r>
        <w:rPr>
          <w:rFonts w:ascii="宋体" w:hAnsi="宋体" w:eastAsia="宋体" w:cs="宋体"/>
          <w:color w:val="auto"/>
          <w:spacing w:val="0"/>
          <w:position w:val="0"/>
          <w:sz w:val="21"/>
          <w:u w:val="none"/>
          <w:shd w:val="clear" w:fill="auto"/>
        </w:rPr>
        <w:t>万元，同比减少</w:t>
      </w:r>
      <w:r>
        <w:rPr>
          <w:rFonts w:ascii="Calibri" w:hAnsi="Calibri" w:eastAsia="Calibri" w:cs="Calibri"/>
          <w:color w:val="auto"/>
          <w:spacing w:val="0"/>
          <w:position w:val="0"/>
          <w:sz w:val="21"/>
          <w:u w:val="none"/>
          <w:shd w:val="clear" w:fill="auto"/>
        </w:rPr>
        <w:t>923.60</w:t>
      </w:r>
      <w:r>
        <w:rPr>
          <w:rFonts w:ascii="宋体" w:hAnsi="宋体" w:eastAsia="宋体" w:cs="宋体"/>
          <w:color w:val="auto"/>
          <w:spacing w:val="0"/>
          <w:position w:val="0"/>
          <w:sz w:val="21"/>
          <w:u w:val="none"/>
          <w:shd w:val="clear" w:fill="auto"/>
        </w:rPr>
        <w:t>万元。</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5</w:t>
      </w:r>
      <w:r>
        <w:rPr>
          <w:rFonts w:ascii="宋体" w:hAnsi="宋体" w:eastAsia="宋体" w:cs="宋体"/>
          <w:color w:val="auto"/>
          <w:spacing w:val="0"/>
          <w:position w:val="0"/>
          <w:sz w:val="21"/>
          <w:u w:val="none"/>
          <w:shd w:val="clear" w:fill="auto"/>
        </w:rPr>
        <w:t>）资产减值损失</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报告期内，为审慎应对经营风险，本行按照有关监管政策共计提各项减值准备</w:t>
      </w:r>
      <w:r>
        <w:rPr>
          <w:rFonts w:ascii="Calibri" w:hAnsi="Calibri" w:eastAsia="Calibri" w:cs="Calibri"/>
          <w:color w:val="auto"/>
          <w:spacing w:val="0"/>
          <w:position w:val="0"/>
          <w:sz w:val="21"/>
          <w:u w:val="none"/>
          <w:shd w:val="clear" w:fill="auto"/>
        </w:rPr>
        <w:t>2.53</w:t>
      </w:r>
      <w:r>
        <w:rPr>
          <w:rFonts w:ascii="宋体" w:hAnsi="宋体" w:eastAsia="宋体" w:cs="宋体"/>
          <w:color w:val="auto"/>
          <w:spacing w:val="0"/>
          <w:position w:val="0"/>
          <w:sz w:val="21"/>
          <w:u w:val="none"/>
          <w:shd w:val="clear" w:fill="auto"/>
        </w:rPr>
        <w:t>亿元。截至报告期末，贷款拨备覆盖率</w:t>
      </w:r>
      <w:r>
        <w:rPr>
          <w:rFonts w:ascii="Calibri" w:hAnsi="Calibri" w:eastAsia="Calibri" w:cs="Calibri"/>
          <w:color w:val="auto"/>
          <w:spacing w:val="0"/>
          <w:position w:val="0"/>
          <w:sz w:val="21"/>
          <w:u w:val="none"/>
          <w:shd w:val="clear" w:fill="auto"/>
        </w:rPr>
        <w:t>153.77%</w:t>
      </w:r>
      <w:r>
        <w:rPr>
          <w:rFonts w:ascii="宋体" w:hAnsi="宋体" w:eastAsia="宋体" w:cs="宋体"/>
          <w:color w:val="auto"/>
          <w:spacing w:val="0"/>
          <w:position w:val="0"/>
          <w:sz w:val="21"/>
          <w:u w:val="none"/>
          <w:shd w:val="clear" w:fill="auto"/>
        </w:rPr>
        <w:t>，高于监管指标</w:t>
      </w:r>
      <w:r>
        <w:rPr>
          <w:rFonts w:ascii="Calibri" w:hAnsi="Calibri" w:eastAsia="Calibri" w:cs="Calibri"/>
          <w:color w:val="auto"/>
          <w:spacing w:val="0"/>
          <w:position w:val="0"/>
          <w:sz w:val="21"/>
          <w:u w:val="none"/>
          <w:shd w:val="clear" w:fill="auto"/>
        </w:rPr>
        <w:t>3.77</w:t>
      </w:r>
      <w:r>
        <w:rPr>
          <w:rFonts w:ascii="宋体" w:hAnsi="宋体" w:eastAsia="宋体" w:cs="宋体"/>
          <w:color w:val="auto"/>
          <w:spacing w:val="0"/>
          <w:position w:val="0"/>
          <w:sz w:val="21"/>
          <w:u w:val="none"/>
          <w:shd w:val="clear" w:fill="auto"/>
        </w:rPr>
        <w:t>个百分点，风险抵御能力进一步提升。</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6</w:t>
      </w:r>
      <w:r>
        <w:rPr>
          <w:rFonts w:ascii="宋体" w:hAnsi="宋体" w:eastAsia="宋体" w:cs="宋体"/>
          <w:color w:val="auto"/>
          <w:spacing w:val="0"/>
          <w:position w:val="0"/>
          <w:sz w:val="21"/>
          <w:u w:val="none"/>
          <w:shd w:val="clear" w:fill="auto"/>
        </w:rPr>
        <w:t>）所得税费用</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报告期内，本行所得税费用共计</w:t>
      </w:r>
      <w:r>
        <w:rPr>
          <w:rFonts w:ascii="Calibri" w:hAnsi="Calibri" w:eastAsia="Calibri" w:cs="Calibri"/>
          <w:color w:val="auto"/>
          <w:spacing w:val="0"/>
          <w:position w:val="0"/>
          <w:sz w:val="21"/>
          <w:u w:val="none"/>
          <w:shd w:val="clear" w:fill="auto"/>
        </w:rPr>
        <w:t>1765.61</w:t>
      </w:r>
      <w:r>
        <w:rPr>
          <w:rFonts w:ascii="宋体" w:hAnsi="宋体" w:eastAsia="宋体" w:cs="宋体"/>
          <w:color w:val="auto"/>
          <w:spacing w:val="0"/>
          <w:position w:val="0"/>
          <w:sz w:val="21"/>
          <w:u w:val="none"/>
          <w:shd w:val="clear" w:fill="auto"/>
        </w:rPr>
        <w:t>万元，同比减少</w:t>
      </w:r>
      <w:r>
        <w:rPr>
          <w:rFonts w:ascii="Calibri" w:hAnsi="Calibri" w:eastAsia="Calibri" w:cs="Calibri"/>
          <w:color w:val="auto"/>
          <w:spacing w:val="0"/>
          <w:position w:val="0"/>
          <w:sz w:val="21"/>
          <w:u w:val="none"/>
          <w:shd w:val="clear" w:fill="auto"/>
        </w:rPr>
        <w:t>2564.15</w:t>
      </w:r>
      <w:r>
        <w:rPr>
          <w:rFonts w:ascii="宋体" w:hAnsi="宋体" w:eastAsia="宋体" w:cs="宋体"/>
          <w:color w:val="auto"/>
          <w:spacing w:val="0"/>
          <w:position w:val="0"/>
          <w:sz w:val="21"/>
          <w:u w:val="none"/>
          <w:shd w:val="clear" w:fill="auto"/>
        </w:rPr>
        <w:t>万元，降幅</w:t>
      </w:r>
      <w:r>
        <w:rPr>
          <w:rFonts w:ascii="Calibri" w:hAnsi="Calibri" w:eastAsia="Calibri" w:cs="Calibri"/>
          <w:color w:val="auto"/>
          <w:spacing w:val="0"/>
          <w:position w:val="0"/>
          <w:sz w:val="21"/>
          <w:u w:val="none"/>
          <w:shd w:val="clear" w:fill="auto"/>
        </w:rPr>
        <w:t>59.22%</w:t>
      </w:r>
      <w:r>
        <w:rPr>
          <w:rFonts w:ascii="宋体" w:hAnsi="宋体" w:eastAsia="宋体" w:cs="宋体"/>
          <w:color w:val="auto"/>
          <w:spacing w:val="0"/>
          <w:position w:val="0"/>
          <w:sz w:val="21"/>
          <w:u w:val="none"/>
          <w:shd w:val="clear" w:fill="auto"/>
        </w:rPr>
        <w:t>。</w:t>
      </w:r>
    </w:p>
    <w:p>
      <w:pPr>
        <w:spacing w:before="0" w:after="0" w:line="240" w:lineRule="auto"/>
        <w:ind w:left="0" w:right="0" w:firstLine="422"/>
        <w:jc w:val="both"/>
        <w:rPr>
          <w:rFonts w:ascii="Calibri" w:hAnsi="Calibri" w:eastAsia="Calibri" w:cs="Calibri"/>
          <w:b/>
          <w:color w:val="auto"/>
          <w:spacing w:val="0"/>
          <w:position w:val="0"/>
          <w:sz w:val="21"/>
          <w:u w:val="none"/>
          <w:shd w:val="clear" w:fill="auto"/>
        </w:rPr>
      </w:pPr>
      <w:r>
        <w:rPr>
          <w:rFonts w:ascii="Calibri" w:hAnsi="Calibri" w:eastAsia="Calibri" w:cs="Calibri"/>
          <w:b/>
          <w:color w:val="auto"/>
          <w:spacing w:val="0"/>
          <w:position w:val="0"/>
          <w:sz w:val="21"/>
          <w:u w:val="none"/>
          <w:shd w:val="clear" w:fill="auto"/>
        </w:rPr>
        <w:t>3.</w:t>
      </w:r>
      <w:r>
        <w:rPr>
          <w:rFonts w:ascii="宋体" w:hAnsi="宋体" w:eastAsia="宋体" w:cs="宋体"/>
          <w:b/>
          <w:color w:val="auto"/>
          <w:spacing w:val="0"/>
          <w:position w:val="0"/>
          <w:sz w:val="21"/>
          <w:u w:val="none"/>
          <w:shd w:val="clear" w:fill="auto"/>
        </w:rPr>
        <w:t>表外业务分析</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1</w:t>
      </w:r>
      <w:r>
        <w:rPr>
          <w:rFonts w:ascii="宋体" w:hAnsi="宋体" w:eastAsia="宋体" w:cs="宋体"/>
          <w:color w:val="auto"/>
          <w:spacing w:val="0"/>
          <w:position w:val="0"/>
          <w:sz w:val="21"/>
          <w:u w:val="none"/>
          <w:shd w:val="clear" w:fill="auto"/>
        </w:rPr>
        <w:t>）截至</w:t>
      </w:r>
      <w:r>
        <w:rPr>
          <w:rFonts w:ascii="Calibri" w:hAnsi="Calibri" w:eastAsia="Calibri" w:cs="Calibri"/>
          <w:color w:val="auto"/>
          <w:spacing w:val="0"/>
          <w:position w:val="0"/>
          <w:sz w:val="21"/>
          <w:u w:val="none"/>
          <w:shd w:val="clear" w:fill="auto"/>
        </w:rPr>
        <w:t>2023</w:t>
      </w:r>
      <w:r>
        <w:rPr>
          <w:rFonts w:ascii="宋体" w:hAnsi="宋体" w:eastAsia="宋体" w:cs="宋体"/>
          <w:color w:val="auto"/>
          <w:spacing w:val="0"/>
          <w:position w:val="0"/>
          <w:sz w:val="21"/>
          <w:u w:val="none"/>
          <w:shd w:val="clear" w:fill="auto"/>
        </w:rPr>
        <w:t>年</w:t>
      </w:r>
      <w:r>
        <w:rPr>
          <w:rFonts w:ascii="Calibri" w:hAnsi="Calibri" w:eastAsia="Calibri" w:cs="Calibri"/>
          <w:color w:val="auto"/>
          <w:spacing w:val="0"/>
          <w:position w:val="0"/>
          <w:sz w:val="21"/>
          <w:u w:val="none"/>
          <w:shd w:val="clear" w:fill="auto"/>
        </w:rPr>
        <w:t>12</w:t>
      </w:r>
      <w:r>
        <w:rPr>
          <w:rFonts w:ascii="宋体" w:hAnsi="宋体" w:eastAsia="宋体" w:cs="宋体"/>
          <w:color w:val="auto"/>
          <w:spacing w:val="0"/>
          <w:position w:val="0"/>
          <w:sz w:val="21"/>
          <w:u w:val="none"/>
          <w:shd w:val="clear" w:fill="auto"/>
        </w:rPr>
        <w:t>月</w:t>
      </w:r>
      <w:r>
        <w:rPr>
          <w:rFonts w:ascii="Calibri" w:hAnsi="Calibri" w:eastAsia="Calibri" w:cs="Calibri"/>
          <w:color w:val="auto"/>
          <w:spacing w:val="0"/>
          <w:position w:val="0"/>
          <w:sz w:val="21"/>
          <w:u w:val="none"/>
          <w:shd w:val="clear" w:fill="auto"/>
        </w:rPr>
        <w:t>31</w:t>
      </w:r>
      <w:r>
        <w:rPr>
          <w:rFonts w:ascii="宋体" w:hAnsi="宋体" w:eastAsia="宋体" w:cs="宋体"/>
          <w:color w:val="auto"/>
          <w:spacing w:val="0"/>
          <w:position w:val="0"/>
          <w:sz w:val="21"/>
          <w:u w:val="none"/>
          <w:shd w:val="clear" w:fill="auto"/>
        </w:rPr>
        <w:t>日，本行无到期银行承兑汇票及保证金。</w:t>
      </w:r>
    </w:p>
    <w:p>
      <w:pPr>
        <w:spacing w:before="0" w:after="0" w:line="240" w:lineRule="auto"/>
        <w:ind w:left="0" w:right="0" w:firstLine="420"/>
        <w:jc w:val="both"/>
        <w:rPr>
          <w:rFonts w:ascii="Calibri" w:hAnsi="Calibri" w:eastAsia="Calibri" w:cs="Calibri"/>
          <w:color w:val="auto"/>
          <w:spacing w:val="0"/>
          <w:position w:val="0"/>
          <w:sz w:val="21"/>
          <w:u w:val="none"/>
          <w:shd w:val="clear" w:fill="auto"/>
        </w:rPr>
      </w:pPr>
      <w:r>
        <w:rPr>
          <w:rFonts w:ascii="宋体" w:hAnsi="宋体" w:eastAsia="宋体" w:cs="宋体"/>
          <w:color w:val="auto"/>
          <w:spacing w:val="0"/>
          <w:position w:val="0"/>
          <w:sz w:val="21"/>
          <w:u w:val="none"/>
          <w:shd w:val="clear" w:fill="auto"/>
        </w:rPr>
        <w:t>（</w:t>
      </w:r>
      <w:r>
        <w:rPr>
          <w:rFonts w:ascii="Calibri" w:hAnsi="Calibri" w:eastAsia="Calibri" w:cs="Calibri"/>
          <w:color w:val="auto"/>
          <w:spacing w:val="0"/>
          <w:position w:val="0"/>
          <w:sz w:val="21"/>
          <w:u w:val="none"/>
          <w:shd w:val="clear" w:fill="auto"/>
        </w:rPr>
        <w:t>2</w:t>
      </w:r>
      <w:r>
        <w:rPr>
          <w:rFonts w:ascii="宋体" w:hAnsi="宋体" w:eastAsia="宋体" w:cs="宋体"/>
          <w:color w:val="auto"/>
          <w:spacing w:val="0"/>
          <w:position w:val="0"/>
          <w:sz w:val="21"/>
          <w:u w:val="none"/>
          <w:shd w:val="clear" w:fill="auto"/>
        </w:rPr>
        <w:t>）截至</w:t>
      </w:r>
      <w:r>
        <w:rPr>
          <w:rFonts w:ascii="Calibri" w:hAnsi="Calibri" w:eastAsia="Calibri" w:cs="Calibri"/>
          <w:color w:val="auto"/>
          <w:spacing w:val="0"/>
          <w:position w:val="0"/>
          <w:sz w:val="21"/>
          <w:u w:val="none"/>
          <w:shd w:val="clear" w:fill="auto"/>
        </w:rPr>
        <w:t>2023</w:t>
      </w:r>
      <w:r>
        <w:rPr>
          <w:rFonts w:ascii="宋体" w:hAnsi="宋体" w:eastAsia="宋体" w:cs="宋体"/>
          <w:color w:val="auto"/>
          <w:spacing w:val="0"/>
          <w:position w:val="0"/>
          <w:sz w:val="21"/>
          <w:u w:val="none"/>
          <w:shd w:val="clear" w:fill="auto"/>
        </w:rPr>
        <w:t>年</w:t>
      </w:r>
      <w:r>
        <w:rPr>
          <w:rFonts w:ascii="Calibri" w:hAnsi="Calibri" w:eastAsia="Calibri" w:cs="Calibri"/>
          <w:color w:val="auto"/>
          <w:spacing w:val="0"/>
          <w:position w:val="0"/>
          <w:sz w:val="21"/>
          <w:u w:val="none"/>
          <w:shd w:val="clear" w:fill="auto"/>
        </w:rPr>
        <w:t>12</w:t>
      </w:r>
      <w:r>
        <w:rPr>
          <w:rFonts w:ascii="宋体" w:hAnsi="宋体" w:eastAsia="宋体" w:cs="宋体"/>
          <w:color w:val="auto"/>
          <w:spacing w:val="0"/>
          <w:position w:val="0"/>
          <w:sz w:val="21"/>
          <w:u w:val="none"/>
          <w:shd w:val="clear" w:fill="auto"/>
        </w:rPr>
        <w:t>月</w:t>
      </w:r>
      <w:r>
        <w:rPr>
          <w:rFonts w:ascii="Calibri" w:hAnsi="Calibri" w:eastAsia="Calibri" w:cs="Calibri"/>
          <w:color w:val="auto"/>
          <w:spacing w:val="0"/>
          <w:position w:val="0"/>
          <w:sz w:val="21"/>
          <w:u w:val="none"/>
          <w:shd w:val="clear" w:fill="auto"/>
        </w:rPr>
        <w:t>31</w:t>
      </w:r>
      <w:r>
        <w:rPr>
          <w:rFonts w:ascii="宋体" w:hAnsi="宋体" w:eastAsia="宋体" w:cs="宋体"/>
          <w:color w:val="auto"/>
          <w:spacing w:val="0"/>
          <w:position w:val="0"/>
          <w:sz w:val="21"/>
          <w:u w:val="none"/>
          <w:shd w:val="clear" w:fill="auto"/>
        </w:rPr>
        <w:t>日，本行已签发未到期保函</w:t>
      </w:r>
      <w:r>
        <w:rPr>
          <w:rFonts w:ascii="Calibri" w:hAnsi="Calibri" w:eastAsia="Calibri" w:cs="Calibri"/>
          <w:color w:val="auto"/>
          <w:spacing w:val="0"/>
          <w:position w:val="0"/>
          <w:sz w:val="21"/>
          <w:u w:val="none"/>
          <w:shd w:val="clear" w:fill="auto"/>
        </w:rPr>
        <w:t>23.93</w:t>
      </w:r>
      <w:r>
        <w:rPr>
          <w:rFonts w:ascii="宋体" w:hAnsi="宋体" w:eastAsia="宋体" w:cs="宋体"/>
          <w:color w:val="auto"/>
          <w:spacing w:val="0"/>
          <w:position w:val="0"/>
          <w:sz w:val="21"/>
          <w:u w:val="none"/>
          <w:shd w:val="clear" w:fill="auto"/>
        </w:rPr>
        <w:t>亿元，并收取对应保证金存款</w:t>
      </w:r>
      <w:r>
        <w:rPr>
          <w:rFonts w:ascii="Calibri" w:hAnsi="Calibri" w:eastAsia="Calibri" w:cs="Calibri"/>
          <w:color w:val="auto"/>
          <w:spacing w:val="0"/>
          <w:position w:val="0"/>
          <w:sz w:val="21"/>
          <w:u w:val="none"/>
          <w:shd w:val="clear" w:fill="auto"/>
        </w:rPr>
        <w:t>23.93</w:t>
      </w:r>
      <w:r>
        <w:rPr>
          <w:rFonts w:ascii="宋体" w:hAnsi="宋体" w:eastAsia="宋体" w:cs="宋体"/>
          <w:color w:val="auto"/>
          <w:spacing w:val="0"/>
          <w:position w:val="0"/>
          <w:sz w:val="21"/>
          <w:u w:val="none"/>
          <w:shd w:val="clear" w:fill="auto"/>
        </w:rPr>
        <w:t>亿元。</w:t>
      </w:r>
    </w:p>
    <w:p>
      <w:pP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第四部分  风险管理</w:t>
      </w:r>
    </w:p>
    <w:p>
      <w:pPr>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一、信用风险</w:t>
      </w:r>
    </w:p>
    <w:p>
      <w:pPr>
        <w:ind w:firstLine="420" w:firstLineChars="200"/>
        <w:rPr>
          <w:rFonts w:hint="eastAsia"/>
          <w:color w:val="auto"/>
          <w:lang w:val="en-US" w:eastAsia="zh-CN"/>
        </w:rPr>
      </w:pPr>
      <w:r>
        <w:rPr>
          <w:rFonts w:hint="eastAsia"/>
          <w:color w:val="auto"/>
          <w:lang w:val="en-US" w:eastAsia="zh-CN"/>
        </w:rPr>
        <w:t>报告期内，本行高度重视信用风险管理。一是强化信贷业务准入关，我行采取“征信业务集中查询机制”与征信业务红、黄、绿灯规则结合，严把高风险信贷客户准入关。二是优化贷款全流程管理，充分发挥支行贷审小组集体审议作用，在贷前、贷中、贷后严把信贷业务的合规性、合法性、效益性、安全性关口，修订《株洲农商银行贷后管理办法》，明确各层次、各类型信贷客户的贷后管理要求，按季开展贷后检查和通报，有效增强客户经理贷后管理意识，提升信贷业务管理能力；规范押品管理和档案管理，有效落实押品出入库流程，防范押品风险，压实支行信贷档案管理责任，明确专人集中管理。三是增强信贷人员风险识别能力，开展信贷从业人员常态化培训，提升业务能力和风险识别能力，及时检验培训效果，开展真实案例。四是科技管理赋能。不断优化我行线上贷款产品，对“株洲快贷”风控模型进行升级调整，上线贷后管理系统，强化线上贷款风险预警机制。</w:t>
      </w:r>
    </w:p>
    <w:p>
      <w:pPr>
        <w:ind w:firstLine="420" w:firstLineChars="200"/>
        <w:rPr>
          <w:rFonts w:hint="eastAsia"/>
          <w:color w:val="auto"/>
          <w:lang w:val="en-US" w:eastAsia="zh-CN"/>
        </w:rPr>
      </w:pPr>
      <w:r>
        <w:rPr>
          <w:rFonts w:hint="eastAsia"/>
          <w:color w:val="auto"/>
          <w:lang w:val="en-US" w:eastAsia="zh-CN"/>
        </w:rPr>
        <w:t>1.信贷资产五级分类</w:t>
      </w:r>
    </w:p>
    <w:p>
      <w:pPr>
        <w:bidi w:val="0"/>
        <w:jc w:val="right"/>
        <w:rPr>
          <w:color w:val="auto"/>
        </w:rPr>
      </w:pPr>
      <w:r>
        <w:rPr>
          <w:color w:val="auto"/>
        </w:rPr>
        <w:t>单位：万元</w:t>
      </w:r>
      <w:r>
        <w:rPr>
          <w:rFonts w:hint="eastAsia"/>
          <w:color w:val="auto"/>
          <w:lang w:eastAsia="zh-CN"/>
        </w:rPr>
        <w:t>，</w:t>
      </w:r>
      <w:r>
        <w:rPr>
          <w:color w:val="auto"/>
        </w:rPr>
        <w:t>人民币、%</w:t>
      </w:r>
    </w:p>
    <w:tbl>
      <w:tblPr>
        <w:tblStyle w:val="10"/>
        <w:tblW w:w="86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1"/>
        <w:gridCol w:w="1491"/>
        <w:gridCol w:w="1491"/>
        <w:gridCol w:w="1491"/>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2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bidi w:val="0"/>
              <w:rPr>
                <w:rFonts w:hint="eastAsia" w:ascii="宋体" w:hAnsi="宋体" w:eastAsia="宋体" w:cs="宋体"/>
                <w:i w:val="0"/>
                <w:iCs w:val="0"/>
                <w:color w:val="auto"/>
                <w:sz w:val="22"/>
                <w:szCs w:val="22"/>
                <w:u w:val="none"/>
              </w:rPr>
            </w:pPr>
          </w:p>
        </w:tc>
        <w:tc>
          <w:tcPr>
            <w:tcW w:w="29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2023年12月31日</w:t>
            </w:r>
          </w:p>
        </w:tc>
        <w:tc>
          <w:tcPr>
            <w:tcW w:w="2983"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2022年12月31日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jc w:val="left"/>
              <w:rPr>
                <w:rFonts w:hint="eastAsia" w:ascii="Arial" w:hAnsi="Arial" w:eastAsia="宋体" w:cs="Arial"/>
                <w:i w:val="0"/>
                <w:iCs w:val="0"/>
                <w:color w:val="auto"/>
                <w:sz w:val="21"/>
                <w:szCs w:val="21"/>
                <w:u w:val="none"/>
              </w:rPr>
            </w:pP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金额</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占比</w:t>
            </w:r>
          </w:p>
        </w:tc>
        <w:tc>
          <w:tcPr>
            <w:tcW w:w="14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金额</w:t>
            </w:r>
          </w:p>
        </w:tc>
        <w:tc>
          <w:tcPr>
            <w:tcW w:w="1492"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五级不良贷款</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40975.51</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2.61</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ascii="宋体" w:hAnsi="宋体" w:eastAsia="宋体" w:cs="宋体"/>
                <w:i w:val="0"/>
                <w:iCs w:val="0"/>
                <w:snapToGrid w:val="0"/>
                <w:color w:val="auto"/>
                <w:kern w:val="0"/>
                <w:sz w:val="20"/>
                <w:szCs w:val="20"/>
                <w:u w:val="none"/>
                <w:lang w:val="en-US" w:eastAsia="zh-CN" w:bidi="ar"/>
              </w:rPr>
              <w:t>27,885.71</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逾期贷款</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89599.18</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5.70</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75,422.08</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其中：本金已逾期（四级不良）</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43902.55</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2.79</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20465.00</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本金未逾期、但已欠息</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45696.63</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2.91</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54957.08</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Style w:val="52"/>
                <w:snapToGrid w:val="0"/>
                <w:color w:val="auto"/>
                <w:lang w:val="en-US" w:eastAsia="zh-CN" w:bidi="ar"/>
              </w:rPr>
              <w:t>逾期90天以上的不良贷款</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40518.48</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2.58</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27826.39</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sz w:val="20"/>
                <w:szCs w:val="20"/>
                <w:u w:val="none"/>
                <w:lang w:val="en-US" w:eastAsia="zh-CN"/>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2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关注类贷款</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30161</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1.92</w:t>
            </w:r>
          </w:p>
        </w:tc>
        <w:tc>
          <w:tcPr>
            <w:tcW w:w="1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31081.96</w:t>
            </w:r>
          </w:p>
        </w:tc>
        <w:tc>
          <w:tcPr>
            <w:tcW w:w="1492"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2.21</w:t>
            </w:r>
          </w:p>
        </w:tc>
      </w:tr>
    </w:tbl>
    <w:p>
      <w:pPr>
        <w:pStyle w:val="2"/>
        <w:keepNext w:val="0"/>
        <w:keepLines w:val="0"/>
        <w:pageBreakBefore w:val="0"/>
        <w:kinsoku/>
        <w:wordWrap/>
        <w:overflowPunct/>
        <w:topLinePunct w:val="0"/>
        <w:bidi w:val="0"/>
        <w:rPr>
          <w:color w:val="auto"/>
        </w:rPr>
      </w:pPr>
    </w:p>
    <w:p>
      <w:pPr>
        <w:keepNext w:val="0"/>
        <w:keepLines w:val="0"/>
        <w:pageBreakBefore w:val="0"/>
        <w:kinsoku/>
        <w:wordWrap/>
        <w:overflowPunct/>
        <w:topLinePunct w:val="0"/>
        <w:bidi w:val="0"/>
        <w:spacing w:line="19" w:lineRule="exact"/>
        <w:jc w:val="left"/>
        <w:rPr>
          <w:color w:val="auto"/>
        </w:rPr>
      </w:pPr>
    </w:p>
    <w:p>
      <w:pPr>
        <w:ind w:firstLine="420" w:firstLineChars="200"/>
        <w:rPr>
          <w:rFonts w:ascii="宋体" w:hAnsi="宋体" w:eastAsia="宋体" w:cs="宋体"/>
          <w:color w:val="auto"/>
          <w:sz w:val="21"/>
          <w:szCs w:val="21"/>
          <w14:textOutline w14:w="3831" w14:cap="flat" w14:cmpd="sng">
            <w14:solidFill>
              <w14:srgbClr w14:val="000000"/>
            </w14:solidFill>
            <w14:prstDash w14:val="solid"/>
            <w14:miter w14:val="0"/>
          </w14:textOutline>
        </w:rPr>
      </w:pPr>
      <w:r>
        <w:rPr>
          <w:rFonts w:hint="eastAsia"/>
          <w:color w:val="auto"/>
          <w:lang w:val="en-US" w:eastAsia="zh-CN"/>
        </w:rPr>
        <w:t>2.</w:t>
      </w:r>
      <w:r>
        <w:rPr>
          <w:rFonts w:hint="eastAsia"/>
          <w:color w:val="auto"/>
          <w:lang w:val="zh-CN" w:eastAsia="zh-CN"/>
        </w:rPr>
        <w:t>贷</w:t>
      </w:r>
      <w:r>
        <w:rPr>
          <w:rFonts w:hint="eastAsia"/>
          <w:color w:val="auto"/>
          <w:lang w:val="en-US" w:eastAsia="zh-CN"/>
        </w:rPr>
        <w:t>款和垫款按投向行业分布情况（不含应计利息）</w:t>
      </w:r>
    </w:p>
    <w:p>
      <w:pPr>
        <w:bidi w:val="0"/>
        <w:jc w:val="right"/>
        <w:rPr>
          <w:color w:val="auto"/>
        </w:rPr>
      </w:pPr>
      <w:r>
        <w:rPr>
          <w:color w:val="auto"/>
        </w:rPr>
        <w:t>单位：万元</w:t>
      </w:r>
      <w:r>
        <w:rPr>
          <w:rFonts w:hint="eastAsia"/>
          <w:color w:val="auto"/>
          <w:lang w:eastAsia="zh-CN"/>
        </w:rPr>
        <w:t>，</w:t>
      </w:r>
      <w:r>
        <w:rPr>
          <w:color w:val="auto"/>
        </w:rPr>
        <w:t>人民币、%</w:t>
      </w:r>
    </w:p>
    <w:tbl>
      <w:tblPr>
        <w:tblStyle w:val="10"/>
        <w:tblW w:w="8747"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709"/>
        <w:gridCol w:w="1509"/>
        <w:gridCol w:w="1509"/>
        <w:gridCol w:w="1"/>
        <w:gridCol w:w="1508"/>
        <w:gridCol w:w="1511"/>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7"/>
                <w:szCs w:val="17"/>
                <w:u w:val="none"/>
              </w:rPr>
            </w:pPr>
            <w:r>
              <w:rPr>
                <w:rFonts w:hint="eastAsia" w:ascii="宋体" w:hAnsi="宋体" w:eastAsia="宋体" w:cs="宋体"/>
                <w:i w:val="0"/>
                <w:iCs w:val="0"/>
                <w:color w:val="auto"/>
                <w:kern w:val="0"/>
                <w:sz w:val="17"/>
                <w:szCs w:val="17"/>
                <w:u w:val="none"/>
                <w:lang w:val="en-US" w:eastAsia="zh-CN" w:bidi="ar"/>
              </w:rPr>
              <w:t>项目</w:t>
            </w:r>
          </w:p>
        </w:tc>
        <w:tc>
          <w:tcPr>
            <w:tcW w:w="3019" w:type="dxa"/>
            <w:gridSpan w:val="3"/>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2023年12月31日</w:t>
            </w:r>
          </w:p>
        </w:tc>
        <w:tc>
          <w:tcPr>
            <w:tcW w:w="301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2022年12月31日</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auto"/>
                <w:sz w:val="17"/>
                <w:szCs w:val="17"/>
                <w:u w:val="none"/>
              </w:rPr>
            </w:pP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bCs/>
                <w:i w:val="0"/>
                <w:iCs w:val="0"/>
                <w:color w:val="auto"/>
                <w:sz w:val="17"/>
                <w:szCs w:val="17"/>
                <w:u w:val="none"/>
              </w:rPr>
            </w:pPr>
            <w:r>
              <w:rPr>
                <w:rFonts w:hint="eastAsia" w:ascii="宋体" w:hAnsi="宋体" w:eastAsia="宋体" w:cs="宋体"/>
                <w:b/>
                <w:bCs/>
                <w:i w:val="0"/>
                <w:iCs w:val="0"/>
                <w:color w:val="auto"/>
                <w:kern w:val="0"/>
                <w:sz w:val="17"/>
                <w:szCs w:val="17"/>
                <w:u w:val="none"/>
                <w:lang w:val="en-US" w:eastAsia="zh-CN" w:bidi="ar"/>
              </w:rPr>
              <w:t>金额</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bCs/>
                <w:i w:val="0"/>
                <w:iCs w:val="0"/>
                <w:color w:val="auto"/>
                <w:sz w:val="17"/>
                <w:szCs w:val="17"/>
                <w:u w:val="none"/>
              </w:rPr>
            </w:pPr>
            <w:r>
              <w:rPr>
                <w:rFonts w:hint="eastAsia" w:ascii="宋体" w:hAnsi="宋体" w:eastAsia="宋体" w:cs="宋体"/>
                <w:b/>
                <w:bCs/>
                <w:i w:val="0"/>
                <w:iCs w:val="0"/>
                <w:color w:val="auto"/>
                <w:kern w:val="0"/>
                <w:sz w:val="17"/>
                <w:szCs w:val="17"/>
                <w:u w:val="none"/>
                <w:lang w:val="en-US" w:eastAsia="zh-CN" w:bidi="ar"/>
              </w:rPr>
              <w:t>比例</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bCs/>
                <w:i w:val="0"/>
                <w:iCs w:val="0"/>
                <w:color w:val="auto"/>
                <w:sz w:val="17"/>
                <w:szCs w:val="17"/>
                <w:u w:val="none"/>
              </w:rPr>
            </w:pPr>
            <w:r>
              <w:rPr>
                <w:rFonts w:hint="eastAsia" w:ascii="宋体" w:hAnsi="宋体" w:eastAsia="宋体" w:cs="宋体"/>
                <w:b/>
                <w:bCs/>
                <w:i w:val="0"/>
                <w:iCs w:val="0"/>
                <w:color w:val="auto"/>
                <w:kern w:val="0"/>
                <w:sz w:val="17"/>
                <w:szCs w:val="17"/>
                <w:u w:val="none"/>
                <w:lang w:val="en-US" w:eastAsia="zh-CN" w:bidi="ar"/>
              </w:rPr>
              <w:t>金额</w:t>
            </w:r>
          </w:p>
        </w:tc>
        <w:tc>
          <w:tcPr>
            <w:tcW w:w="1511"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b/>
                <w:bCs/>
                <w:i w:val="0"/>
                <w:iCs w:val="0"/>
                <w:color w:val="auto"/>
                <w:sz w:val="17"/>
                <w:szCs w:val="17"/>
                <w:u w:val="none"/>
              </w:rPr>
            </w:pPr>
            <w:r>
              <w:rPr>
                <w:rFonts w:hint="eastAsia" w:ascii="宋体" w:hAnsi="宋体" w:eastAsia="宋体" w:cs="宋体"/>
                <w:b/>
                <w:bCs/>
                <w:i w:val="0"/>
                <w:iCs w:val="0"/>
                <w:color w:val="auto"/>
                <w:kern w:val="0"/>
                <w:sz w:val="17"/>
                <w:szCs w:val="17"/>
                <w:u w:val="none"/>
                <w:lang w:val="en-US" w:eastAsia="zh-CN" w:bidi="ar"/>
              </w:rPr>
              <w:t>比例</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农、林、牧、渔业</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54960.52</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52464.16</w:t>
            </w:r>
          </w:p>
        </w:tc>
        <w:tc>
          <w:tcPr>
            <w:tcW w:w="1511"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3.74</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采矿业</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601.58</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1509" w:type="dxa"/>
            <w:gridSpan w:val="2"/>
            <w:tcBorders>
              <w:tl2br w:val="nil"/>
              <w:tr2bl w:val="nil"/>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511" w:type="dxa"/>
            <w:tcBorders>
              <w:tl2br w:val="nil"/>
              <w:tr2bl w:val="nil"/>
            </w:tcBorders>
            <w:shd w:val="clear" w:color="auto"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制造业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118941.07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7.57</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126287.37</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8.99</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电力、热力、燃气及水的生产和供应业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2703.59</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0.17</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1827.68</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0.13</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247174.16</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15.72</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225220.98</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16.04</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批发和零售业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228146.07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14.51</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206616.45</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14.72</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交通运输、仓储和邮政业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16429.07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16011.48</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住宿和餐饮业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46728.97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42350.07</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信息传输、软件和信息技术服务业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9714.57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0.62</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10834.5</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0.77</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房地产业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77235.51</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4.91</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47939.97</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3.41</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租赁和商务服务业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204685.55</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13.02</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149603.76</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10.66</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科学研究和技术服务</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2541.26</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0.16</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2315.33</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0.16</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水利、环境和公共设施管理业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33982.67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2.16</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28631.65</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2.04</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居民服务、修理和其他服务业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46752.67</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49038.81</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3.49</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教育</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5503.58</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0.35</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8202.69</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0.58</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卫生和社会工作</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9648.62</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0.61</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10460.35</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文化、体育和娱乐业</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5032.32</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0.32</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2427.9</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0.17</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个人贷款（不含个人经营性贷款）</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299805.13</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19.07</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307581.55</w:t>
            </w:r>
          </w:p>
        </w:tc>
        <w:tc>
          <w:tcPr>
            <w:tcW w:w="1511"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21.91</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转贴现</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138590.88</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8.82</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116169.32</w:t>
            </w:r>
          </w:p>
        </w:tc>
        <w:tc>
          <w:tcPr>
            <w:tcW w:w="1511"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8.27</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贴现</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22882.29</w:t>
            </w:r>
          </w:p>
        </w:tc>
        <w:tc>
          <w:tcPr>
            <w:tcW w:w="1509" w:type="dxa"/>
            <w:tcBorders>
              <w:tl2br w:val="nil"/>
              <w:tr2bl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w:t>
            </w:r>
          </w:p>
        </w:tc>
        <w:tc>
          <w:tcPr>
            <w:tcW w:w="1509" w:type="dxa"/>
            <w:gridSpan w:val="2"/>
            <w:tcBorders>
              <w:tl2br w:val="nil"/>
              <w:tr2bl w:val="nil"/>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511" w:type="dxa"/>
            <w:tcBorders>
              <w:tl2br w:val="nil"/>
              <w:tr2bl w:val="nil"/>
            </w:tcBorders>
            <w:shd w:val="clear" w:color="auto"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270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贷款和垫款总额</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1572060.07</w:t>
            </w:r>
          </w:p>
        </w:tc>
        <w:tc>
          <w:tcPr>
            <w:tcW w:w="150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509"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1403984.02</w:t>
            </w:r>
          </w:p>
        </w:tc>
        <w:tc>
          <w:tcPr>
            <w:tcW w:w="151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r>
    </w:tbl>
    <w:p>
      <w:pPr>
        <w:keepNext w:val="0"/>
        <w:keepLines w:val="0"/>
        <w:pageBreakBefore w:val="0"/>
        <w:widowControl w:val="0"/>
        <w:kinsoku/>
        <w:wordWrap/>
        <w:overflowPunct/>
        <w:topLinePunct w:val="0"/>
        <w:bidi w:val="0"/>
        <w:spacing w:after="139" w:line="1" w:lineRule="exact"/>
        <w:rPr>
          <w:color w:val="auto"/>
        </w:rPr>
      </w:pPr>
    </w:p>
    <w:p>
      <w:pPr>
        <w:keepNext w:val="0"/>
        <w:keepLines w:val="0"/>
        <w:pageBreakBefore w:val="0"/>
        <w:kinsoku/>
        <w:wordWrap/>
        <w:overflowPunct/>
        <w:topLinePunct w:val="0"/>
        <w:bidi w:val="0"/>
        <w:spacing w:line="240" w:lineRule="auto"/>
        <w:jc w:val="left"/>
        <w:rPr>
          <w:rFonts w:ascii="Arial" w:hAnsi="Arial" w:eastAsia="Arial" w:cs="Arial"/>
          <w:color w:val="auto"/>
          <w:sz w:val="21"/>
          <w:szCs w:val="21"/>
        </w:rPr>
      </w:pPr>
    </w:p>
    <w:p>
      <w:pPr>
        <w:pStyle w:val="2"/>
        <w:rPr>
          <w:color w:val="auto"/>
        </w:rPr>
      </w:pPr>
    </w:p>
    <w:p>
      <w:pPr>
        <w:ind w:firstLine="420" w:firstLineChars="200"/>
        <w:rPr>
          <w:rFonts w:hint="eastAsia"/>
          <w:color w:val="auto"/>
          <w:lang w:val="en-US" w:eastAsia="zh-CN"/>
        </w:rPr>
      </w:pPr>
      <w:r>
        <w:rPr>
          <w:rFonts w:hint="eastAsia"/>
          <w:color w:val="auto"/>
          <w:lang w:val="en-US" w:eastAsia="zh-CN"/>
        </w:rPr>
        <w:t>3</w:t>
      </w:r>
      <w:r>
        <w:rPr>
          <w:rFonts w:hint="eastAsia"/>
          <w:color w:val="auto"/>
          <w:lang w:val="zh-CN" w:eastAsia="zh-CN"/>
        </w:rPr>
        <w:t>.贷款</w:t>
      </w:r>
      <w:r>
        <w:rPr>
          <w:rFonts w:hint="eastAsia"/>
          <w:color w:val="auto"/>
          <w:lang w:val="en-US" w:eastAsia="zh-CN"/>
        </w:rPr>
        <w:t>和垫款按担保方式分布情况（不含应计利息）</w:t>
      </w:r>
    </w:p>
    <w:p>
      <w:pPr>
        <w:bidi w:val="0"/>
        <w:jc w:val="right"/>
        <w:rPr>
          <w:color w:val="auto"/>
        </w:rPr>
      </w:pPr>
      <w:r>
        <w:rPr>
          <w:color w:val="auto"/>
        </w:rPr>
        <w:t>单位：万元</w:t>
      </w:r>
      <w:r>
        <w:rPr>
          <w:rFonts w:hint="eastAsia"/>
          <w:color w:val="auto"/>
          <w:lang w:eastAsia="zh-CN"/>
        </w:rPr>
        <w:t>，</w:t>
      </w:r>
      <w:r>
        <w:rPr>
          <w:color w:val="auto"/>
        </w:rPr>
        <w:t>人民币、%</w:t>
      </w:r>
    </w:p>
    <w:tbl>
      <w:tblPr>
        <w:tblStyle w:val="10"/>
        <w:tblW w:w="8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1"/>
        <w:gridCol w:w="2533"/>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项 目</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2023年12月31日</w:t>
            </w:r>
          </w:p>
        </w:tc>
        <w:tc>
          <w:tcPr>
            <w:tcW w:w="24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2022年12月31日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信用贷款</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146308.63</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137395.77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保证贷款</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143787.38</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129563.28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附担保物贷款</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1120490.89</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1020855.65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其中：抵押贷款</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977747.31</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872999.98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质押贷款</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142743.58</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147855.67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贴现</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161473.17</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116169.32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0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贷款和垫款总额</w:t>
            </w:r>
          </w:p>
        </w:tc>
        <w:tc>
          <w:tcPr>
            <w:tcW w:w="253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1572060.77</w:t>
            </w:r>
          </w:p>
        </w:tc>
        <w:tc>
          <w:tcPr>
            <w:tcW w:w="246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pageBreakBefore w:val="0"/>
              <w:widowControl/>
              <w:suppressLineNumbers w:val="0"/>
              <w:kinsoku/>
              <w:wordWrap/>
              <w:overflowPunct/>
              <w:topLinePunct w:val="0"/>
              <w:bidi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1403984.02 </w:t>
            </w:r>
          </w:p>
        </w:tc>
      </w:tr>
    </w:tbl>
    <w:p>
      <w:pPr>
        <w:keepNext w:val="0"/>
        <w:keepLines w:val="0"/>
        <w:pageBreakBefore w:val="0"/>
        <w:kinsoku/>
        <w:wordWrap/>
        <w:overflowPunct/>
        <w:topLinePunct w:val="0"/>
        <w:bidi w:val="0"/>
        <w:spacing w:line="43" w:lineRule="exact"/>
        <w:jc w:val="left"/>
        <w:rPr>
          <w:color w:val="auto"/>
        </w:rPr>
      </w:pPr>
    </w:p>
    <w:p>
      <w:pPr>
        <w:ind w:firstLine="420" w:firstLineChars="200"/>
        <w:rPr>
          <w:rFonts w:hint="eastAsia"/>
          <w:color w:val="auto"/>
          <w:lang w:val="en-US" w:eastAsia="zh-CN"/>
        </w:rPr>
      </w:pPr>
    </w:p>
    <w:p>
      <w:pPr>
        <w:ind w:firstLine="420" w:firstLineChars="200"/>
        <w:rPr>
          <w:rFonts w:hint="eastAsia"/>
          <w:color w:val="auto"/>
          <w:lang w:val="en-US" w:eastAsia="zh-CN"/>
        </w:rPr>
      </w:pPr>
      <w:r>
        <w:rPr>
          <w:rFonts w:hint="eastAsia"/>
          <w:color w:val="auto"/>
          <w:lang w:val="en-US" w:eastAsia="zh-CN"/>
        </w:rPr>
        <w:t>4.信用风险集中度情况</w:t>
      </w:r>
    </w:p>
    <w:p>
      <w:pPr>
        <w:ind w:firstLine="420" w:firstLineChars="200"/>
        <w:rPr>
          <w:rFonts w:hint="eastAsia"/>
          <w:color w:val="auto"/>
          <w:lang w:val="en-US" w:eastAsia="zh-CN"/>
        </w:rPr>
      </w:pPr>
      <w:r>
        <w:rPr>
          <w:rFonts w:hint="eastAsia"/>
          <w:color w:val="auto"/>
          <w:lang w:val="en-US" w:eastAsia="zh-CN"/>
        </w:rPr>
        <w:t>本行信贷投放坚持“小额、流动、分散”的信贷原则，贷款风险集中度得到有效控制，报告期末，最大单一客户贷款占总资本净额比例为9.16%。报告期末，本行最大十户贷款客户的贷款情况如下：</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color w:val="auto"/>
          <w:lang w:val="en-US" w:eastAsia="zh-CN"/>
        </w:rPr>
      </w:pPr>
      <w:r>
        <w:rPr>
          <w:rFonts w:hint="eastAsia"/>
          <w:color w:val="auto"/>
          <w:lang w:val="en-US" w:eastAsia="zh-CN"/>
        </w:rPr>
        <w:t>单位：万元，人民币、%</w:t>
      </w:r>
    </w:p>
    <w:tbl>
      <w:tblPr>
        <w:tblStyle w:val="46"/>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4"/>
        <w:gridCol w:w="1771"/>
        <w:gridCol w:w="1305"/>
        <w:gridCol w:w="1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center"/>
          </w:tcPr>
          <w:p>
            <w:pPr>
              <w:keepNext w:val="0"/>
              <w:keepLines w:val="0"/>
              <w:pageBreakBefore w:val="0"/>
              <w:widowControl/>
              <w:suppressLineNumbers w:val="0"/>
              <w:kinsoku/>
              <w:wordWrap/>
              <w:overflowPunct/>
              <w:topLinePunct w:val="0"/>
              <w:bidi w:val="0"/>
              <w:jc w:val="center"/>
              <w:textAlignment w:val="center"/>
              <w:rPr>
                <w:rFonts w:ascii="宋体" w:hAnsi="宋体" w:eastAsia="宋体" w:cs="宋体"/>
                <w:color w:val="auto"/>
                <w:sz w:val="20"/>
                <w:szCs w:val="20"/>
              </w:rPr>
            </w:pPr>
            <w:r>
              <w:rPr>
                <w:rFonts w:hint="eastAsia" w:ascii="宋体" w:hAnsi="宋体" w:eastAsia="宋体" w:cs="宋体"/>
                <w:b/>
                <w:bCs/>
                <w:i w:val="0"/>
                <w:iCs w:val="0"/>
                <w:snapToGrid w:val="0"/>
                <w:color w:val="auto"/>
                <w:kern w:val="0"/>
                <w:sz w:val="20"/>
                <w:szCs w:val="20"/>
                <w:u w:val="none"/>
                <w:lang w:val="en-US" w:eastAsia="zh-CN" w:bidi="ar"/>
              </w:rPr>
              <w:t>客户名称</w:t>
            </w:r>
          </w:p>
        </w:tc>
        <w:tc>
          <w:tcPr>
            <w:tcW w:w="1771" w:type="dxa"/>
            <w:vAlign w:val="center"/>
          </w:tcPr>
          <w:p>
            <w:pPr>
              <w:keepNext w:val="0"/>
              <w:keepLines w:val="0"/>
              <w:pageBreakBefore w:val="0"/>
              <w:widowControl/>
              <w:suppressLineNumbers w:val="0"/>
              <w:kinsoku/>
              <w:wordWrap/>
              <w:overflowPunct/>
              <w:topLinePunct w:val="0"/>
              <w:bidi w:val="0"/>
              <w:jc w:val="center"/>
              <w:textAlignment w:val="center"/>
              <w:rPr>
                <w:rFonts w:ascii="宋体" w:hAnsi="宋体" w:eastAsia="宋体" w:cs="宋体"/>
                <w:color w:val="auto"/>
                <w:sz w:val="20"/>
                <w:szCs w:val="20"/>
              </w:rPr>
            </w:pPr>
            <w:r>
              <w:rPr>
                <w:rFonts w:hint="eastAsia" w:ascii="宋体" w:hAnsi="宋体" w:eastAsia="宋体" w:cs="宋体"/>
                <w:b/>
                <w:bCs/>
                <w:i w:val="0"/>
                <w:iCs w:val="0"/>
                <w:snapToGrid w:val="0"/>
                <w:color w:val="auto"/>
                <w:kern w:val="0"/>
                <w:sz w:val="20"/>
                <w:szCs w:val="20"/>
                <w:u w:val="none"/>
                <w:lang w:val="en-US" w:eastAsia="zh-CN" w:bidi="ar"/>
              </w:rPr>
              <w:t>贷款余额</w:t>
            </w:r>
          </w:p>
        </w:tc>
        <w:tc>
          <w:tcPr>
            <w:tcW w:w="1305" w:type="dxa"/>
            <w:vAlign w:val="center"/>
          </w:tcPr>
          <w:p>
            <w:pPr>
              <w:keepNext w:val="0"/>
              <w:keepLines w:val="0"/>
              <w:pageBreakBefore w:val="0"/>
              <w:widowControl/>
              <w:suppressLineNumbers w:val="0"/>
              <w:kinsoku/>
              <w:wordWrap/>
              <w:overflowPunct/>
              <w:topLinePunct w:val="0"/>
              <w:bidi w:val="0"/>
              <w:jc w:val="center"/>
              <w:textAlignment w:val="center"/>
              <w:rPr>
                <w:rFonts w:ascii="宋体" w:hAnsi="宋体" w:eastAsia="宋体" w:cs="宋体"/>
                <w:color w:val="auto"/>
                <w:sz w:val="20"/>
                <w:szCs w:val="20"/>
              </w:rPr>
            </w:pPr>
            <w:r>
              <w:rPr>
                <w:rFonts w:hint="eastAsia" w:ascii="宋体" w:hAnsi="宋体" w:eastAsia="宋体" w:cs="宋体"/>
                <w:b/>
                <w:bCs/>
                <w:i w:val="0"/>
                <w:iCs w:val="0"/>
                <w:snapToGrid w:val="0"/>
                <w:color w:val="auto"/>
                <w:kern w:val="0"/>
                <w:sz w:val="20"/>
                <w:szCs w:val="20"/>
                <w:u w:val="none"/>
                <w:lang w:val="en-US" w:eastAsia="zh-CN" w:bidi="ar"/>
              </w:rPr>
              <w:t>占贷款比例</w:t>
            </w:r>
          </w:p>
        </w:tc>
        <w:tc>
          <w:tcPr>
            <w:tcW w:w="1828" w:type="dxa"/>
            <w:tcBorders>
              <w:right w:val="nil"/>
            </w:tcBorders>
            <w:vAlign w:val="center"/>
          </w:tcPr>
          <w:p>
            <w:pPr>
              <w:keepNext w:val="0"/>
              <w:keepLines w:val="0"/>
              <w:pageBreakBefore w:val="0"/>
              <w:widowControl/>
              <w:suppressLineNumbers w:val="0"/>
              <w:kinsoku/>
              <w:wordWrap/>
              <w:overflowPunct/>
              <w:topLinePunct w:val="0"/>
              <w:bidi w:val="0"/>
              <w:jc w:val="center"/>
              <w:textAlignment w:val="center"/>
              <w:rPr>
                <w:rFonts w:ascii="宋体" w:hAnsi="宋体" w:eastAsia="宋体" w:cs="宋体"/>
                <w:color w:val="auto"/>
                <w:sz w:val="20"/>
                <w:szCs w:val="20"/>
              </w:rPr>
            </w:pPr>
            <w:r>
              <w:rPr>
                <w:rFonts w:hint="eastAsia" w:ascii="宋体" w:hAnsi="宋体" w:eastAsia="宋体" w:cs="宋体"/>
                <w:b/>
                <w:bCs/>
                <w:i w:val="0"/>
                <w:iCs w:val="0"/>
                <w:snapToGrid w:val="0"/>
                <w:color w:val="auto"/>
                <w:kern w:val="0"/>
                <w:sz w:val="20"/>
                <w:szCs w:val="20"/>
                <w:u w:val="none"/>
                <w:lang w:val="en-US" w:eastAsia="zh-CN" w:bidi="ar"/>
              </w:rPr>
              <w:t>占总资本净额比例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bookmarkStart w:id="20" w:name="OLE_LINK1" w:colFirst="1" w:colLast="1"/>
            <w:r>
              <w:rPr>
                <w:rFonts w:hint="eastAsia" w:ascii="宋体" w:hAnsi="宋体" w:eastAsia="宋体" w:cs="宋体"/>
                <w:i w:val="0"/>
                <w:iCs w:val="0"/>
                <w:color w:val="auto"/>
                <w:kern w:val="0"/>
                <w:sz w:val="20"/>
                <w:szCs w:val="20"/>
                <w:u w:val="none"/>
                <w:lang w:val="en-US" w:eastAsia="zh-CN" w:bidi="ar"/>
              </w:rPr>
              <w:t>株洲中商商业集团有限公司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17659.99</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1.26%</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株洲意法置业有限公司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17300</w:t>
            </w:r>
          </w:p>
        </w:tc>
        <w:tc>
          <w:tcPr>
            <w:tcW w:w="1305" w:type="dxa"/>
            <w:vAlign w:val="top"/>
          </w:tcPr>
          <w:p>
            <w:pPr>
              <w:keepNext w:val="0"/>
              <w:keepLines w:val="0"/>
              <w:widowControl/>
              <w:suppressLineNumbers w:val="0"/>
              <w:ind w:left="0" w:leftChars="0" w:right="0" w:rightChars="0" w:firstLine="0" w:firstLineChars="0"/>
              <w:jc w:val="center"/>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1.23%</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株洲高新动力产业投资发展有限公司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15000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1.07%</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湖南高新长晟物资有限公司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15000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1.07%</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左亚云</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14000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1.00%</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株洲同新实业有限公司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13500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0.96%</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湖南高科园创园区管理服务有限公司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13500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0.96%</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株洲芦淞棚户区改造开发有限公司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13200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0.94%</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上海盛龙置业有限公司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13000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0.93%</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color w:val="auto"/>
                <w:sz w:val="20"/>
                <w:szCs w:val="20"/>
              </w:rPr>
            </w:pPr>
            <w:r>
              <w:rPr>
                <w:rFonts w:hint="eastAsia" w:ascii="宋体" w:hAnsi="宋体" w:eastAsia="宋体" w:cs="宋体"/>
                <w:i w:val="0"/>
                <w:iCs w:val="0"/>
                <w:color w:val="auto"/>
                <w:kern w:val="0"/>
                <w:sz w:val="20"/>
                <w:szCs w:val="20"/>
                <w:u w:val="none"/>
                <w:lang w:val="en-US" w:eastAsia="zh-CN" w:bidi="ar"/>
              </w:rPr>
              <w:t>株洲市金山建设有限责任公司</w:t>
            </w:r>
          </w:p>
        </w:tc>
        <w:tc>
          <w:tcPr>
            <w:tcW w:w="1771" w:type="dxa"/>
            <w:vAlign w:val="top"/>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color w:val="auto"/>
                <w:sz w:val="20"/>
                <w:szCs w:val="20"/>
                <w:lang w:val="en-US"/>
              </w:rPr>
            </w:pPr>
            <w:r>
              <w:rPr>
                <w:rFonts w:hint="eastAsia" w:ascii="宋体" w:hAnsi="宋体" w:eastAsia="宋体" w:cs="宋体"/>
                <w:i w:val="0"/>
                <w:iCs w:val="0"/>
                <w:color w:val="auto"/>
                <w:kern w:val="0"/>
                <w:sz w:val="20"/>
                <w:szCs w:val="20"/>
                <w:u w:val="none"/>
                <w:lang w:val="en-US" w:eastAsia="zh-CN" w:bidi="ar"/>
              </w:rPr>
              <w:t>12200</w:t>
            </w:r>
          </w:p>
        </w:tc>
        <w:tc>
          <w:tcPr>
            <w:tcW w:w="1305" w:type="dxa"/>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0.87%</w:t>
            </w:r>
          </w:p>
        </w:tc>
        <w:tc>
          <w:tcPr>
            <w:tcW w:w="1828" w:type="dxa"/>
            <w:tcBorders>
              <w:right w:val="nil"/>
            </w:tcBorders>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54" w:type="dxa"/>
            <w:tcBorders>
              <w:left w:val="nil"/>
            </w:tcBorders>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合计</w:t>
            </w:r>
          </w:p>
        </w:tc>
        <w:tc>
          <w:tcPr>
            <w:tcW w:w="177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ottom"/>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144359.99</w:t>
            </w:r>
          </w:p>
        </w:tc>
        <w:tc>
          <w:tcPr>
            <w:tcW w:w="1305" w:type="dxa"/>
            <w:vAlign w:val="top"/>
          </w:tcPr>
          <w:p>
            <w:pPr>
              <w:ind w:left="0" w:leftChars="0" w:right="0" w:rightChars="0" w:firstLine="0" w:firstLineChars="0"/>
              <w:jc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8.94%</w:t>
            </w:r>
          </w:p>
        </w:tc>
        <w:tc>
          <w:tcPr>
            <w:tcW w:w="1828" w:type="dxa"/>
            <w:tcBorders>
              <w:right w:val="nil"/>
            </w:tcBorders>
            <w:vAlign w:val="top"/>
          </w:tcPr>
          <w:p>
            <w:pPr>
              <w:ind w:left="0" w:leftChars="0" w:right="0" w:rightChars="0" w:firstLine="0" w:firstLineChars="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74.99%</w:t>
            </w:r>
          </w:p>
        </w:tc>
      </w:tr>
      <w:bookmarkEnd w:id="20"/>
    </w:tbl>
    <w:p>
      <w:pPr>
        <w:ind w:firstLine="422" w:firstLineChars="200"/>
        <w:rPr>
          <w:rFonts w:hint="eastAsia" w:ascii="宋体" w:hAnsi="宋体" w:eastAsia="宋体" w:cs="宋体"/>
          <w:b/>
          <w:bCs/>
          <w:color w:val="auto"/>
          <w:kern w:val="0"/>
          <w:sz w:val="21"/>
          <w:szCs w:val="21"/>
          <w:lang w:val="en-US" w:eastAsia="zh-CN" w:bidi="ar"/>
        </w:rPr>
      </w:pPr>
    </w:p>
    <w:p>
      <w:pPr>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二、流动性风险</w:t>
      </w:r>
    </w:p>
    <w:p>
      <w:pPr>
        <w:ind w:firstLine="420" w:firstLineChars="200"/>
        <w:rPr>
          <w:rFonts w:hint="eastAsia"/>
          <w:color w:val="auto"/>
          <w:lang w:val="en-US" w:eastAsia="zh-CN"/>
        </w:rPr>
      </w:pPr>
      <w:r>
        <w:rPr>
          <w:rFonts w:hint="eastAsia"/>
          <w:color w:val="auto"/>
          <w:lang w:val="en-US" w:eastAsia="zh-CN"/>
        </w:rPr>
        <w:t>本行流动性风险管理的目标，是通过对流动性风险实施有效的识别、计量、监控和报告，确保本行在正常经营条件及压力状态下，能及时满足资产、负债及表外业务引发的流动性需求和履行对外支付义务，有效平衡资金的效益性和安全性。报告期内，本行继续加强流动性风险管控，未发生流动性风险事件，为全行业务运营创造了良好的资金环境。本行董事会、高级管理层为加强流动性风险的防范主要采取如下措施：一是严格执行《流动性风险管理办法》《流动性风险应急预案》《存款挤兑应急预案》等流动性风险管理制度。二是加强流动性指标的预测。三是加强日间客户大额资金进出的管理与报备。四是按季开展流动性压力测试。五是开展流动性应急演练</w:t>
      </w:r>
    </w:p>
    <w:p>
      <w:pPr>
        <w:ind w:firstLine="420" w:firstLineChars="200"/>
        <w:rPr>
          <w:rFonts w:hint="eastAsia"/>
          <w:color w:val="auto"/>
          <w:lang w:val="en-US" w:eastAsia="zh-CN"/>
        </w:rPr>
      </w:pPr>
      <w:r>
        <w:rPr>
          <w:rFonts w:hint="eastAsia"/>
          <w:color w:val="auto"/>
          <w:lang w:val="en-US" w:eastAsia="zh-CN"/>
        </w:rPr>
        <w:t>2.流动性风险分析</w:t>
      </w:r>
    </w:p>
    <w:p>
      <w:pPr>
        <w:ind w:firstLine="420" w:firstLineChars="200"/>
        <w:rPr>
          <w:rFonts w:hint="eastAsia"/>
          <w:color w:val="auto"/>
          <w:lang w:val="en-US" w:eastAsia="zh-CN"/>
        </w:rPr>
      </w:pPr>
      <w:r>
        <w:rPr>
          <w:rFonts w:hint="eastAsia"/>
          <w:color w:val="auto"/>
          <w:lang w:val="en-US" w:eastAsia="zh-CN"/>
        </w:rPr>
        <w:t>本行还按季通过流动性缺口分析来评估流动性风险状况，截至报告期末，本行流动性充裕，整体流动性安全。下表列示了报告期末本行各类压力程度下流动性缺口情况。</w:t>
      </w:r>
    </w:p>
    <w:tbl>
      <w:tblPr>
        <w:tblStyle w:val="10"/>
        <w:tblW w:w="984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54"/>
        <w:gridCol w:w="2595"/>
        <w:gridCol w:w="1433"/>
        <w:gridCol w:w="1688"/>
        <w:gridCol w:w="1688"/>
        <w:gridCol w:w="168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23" w:hRule="atLeast"/>
          <w:jc w:val="center"/>
        </w:trPr>
        <w:tc>
          <w:tcPr>
            <w:tcW w:w="334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项    目</w:t>
            </w:r>
          </w:p>
        </w:tc>
        <w:tc>
          <w:tcPr>
            <w:tcW w:w="143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次</w:t>
            </w:r>
          </w:p>
        </w:tc>
        <w:tc>
          <w:tcPr>
            <w:tcW w:w="168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2日至7日</w:t>
            </w:r>
          </w:p>
        </w:tc>
        <w:tc>
          <w:tcPr>
            <w:tcW w:w="168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8日至30日</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31日至90日</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轻度压力情景</w:t>
            </w: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31881.70</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29177.08</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-1203.36</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41793.18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31881.70</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61058.78</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59855.42</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101648.60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累计风险缓释后期限缺口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217,481.02</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246658.10</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245454.74</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287247.92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中度压力情景</w:t>
            </w: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30,211.40</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14,054.83</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-14,747.42</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2,948.55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30,211.40</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44,266.24</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29,518.81</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32,467.36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累计风险缓释后期限缺口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169410.89</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183465.73</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168718.30</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171666.85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重度压力情景</w:t>
            </w: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27136.05</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-5779.43</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-41488.64</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-72295.58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累计到期期限缺口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27136.05</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21356.62</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-20132.02</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-92427.60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p>
        </w:tc>
        <w:tc>
          <w:tcPr>
            <w:tcW w:w="25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累计风险缓释后期限缺口</w:t>
            </w:r>
          </w:p>
        </w:tc>
        <w:tc>
          <w:tcPr>
            <w:tcW w:w="1433"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119,935.71</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114,156.28</w:t>
            </w:r>
          </w:p>
        </w:tc>
        <w:tc>
          <w:tcPr>
            <w:tcW w:w="1688"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72,667.64</w:t>
            </w:r>
          </w:p>
        </w:tc>
        <w:tc>
          <w:tcPr>
            <w:tcW w:w="1689" w:type="dxa"/>
            <w:tcBorders>
              <w:tl2br w:val="nil"/>
              <w:tr2bl w:val="nil"/>
            </w:tcBorders>
            <w:shd w:val="clear" w:color="auto" w:fill="auto"/>
            <w:vAlign w:val="top"/>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372.06</w:t>
            </w:r>
          </w:p>
        </w:tc>
      </w:tr>
    </w:tbl>
    <w:p>
      <w:pPr>
        <w:pStyle w:val="2"/>
        <w:rPr>
          <w:rFonts w:hint="eastAsia"/>
          <w:color w:val="auto"/>
          <w:lang w:val="en-US" w:eastAsia="zh-CN"/>
        </w:rPr>
      </w:pPr>
    </w:p>
    <w:p>
      <w:pPr>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三、市场业务风险</w:t>
      </w:r>
    </w:p>
    <w:p>
      <w:pPr>
        <w:pStyle w:val="2"/>
        <w:ind w:firstLine="420" w:firstLineChars="200"/>
        <w:rPr>
          <w:rFonts w:hint="eastAsia"/>
          <w:color w:val="auto"/>
          <w:lang w:val="en-US" w:eastAsia="zh-CN"/>
        </w:rPr>
      </w:pPr>
      <w:r>
        <w:rPr>
          <w:rFonts w:hint="eastAsia"/>
          <w:color w:val="auto"/>
          <w:lang w:val="en-US" w:eastAsia="zh-CN"/>
        </w:rPr>
        <w:t>本行逐步建立起与业务性质、规模相适应的市场风险管理体系，市场风险相对可控。本行董事会是资产负债管理和市场风险管理的决策机构，同时决定全行的风险偏好。风险管理委员会是协助董事会和行长实施市场风险管理的主要经营管理层。风险管理部是辅助风险管理委员会进行决策的职能部门。近年来，本行逐步建立了与业务性质、规模和复杂程度相适应的市场风险管理流程。董事会和高级管理层加强经济政策和金融市场研究，提高利率风险变动的分析预测能力，及时调整、修订相关管理办法，严格利率审批流程管理，强化业务授权、敞口限额和流程监控管理，有效防范市场风险。各业务条线按部门职责履行相应的市场风险管理职能。合理配置资产，增加低风险债券资产配置；统筹规划资产端与负债端，促进交易渠道广度和深度提升。本行在明确银行账户和交易账户的划分标准、管理要求的同时，根据不同账户的性质和特点，采取不同的市场风险识别、计量、控制和监测方法；建立了市场风险检测程序，对全行市场风险头寸、风险水平、盈亏状态、市场风险限额执行情况进行持续监测。</w:t>
      </w:r>
    </w:p>
    <w:p>
      <w:pPr>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四、合规风险</w:t>
      </w:r>
    </w:p>
    <w:p>
      <w:pPr>
        <w:pStyle w:val="2"/>
        <w:ind w:firstLine="420" w:firstLineChars="200"/>
        <w:rPr>
          <w:rFonts w:hint="eastAsia"/>
          <w:color w:val="auto"/>
          <w:lang w:val="en-US" w:eastAsia="zh-CN"/>
        </w:rPr>
      </w:pPr>
      <w:r>
        <w:rPr>
          <w:rFonts w:hint="eastAsia" w:ascii="Times New Roman" w:hAnsi="Times New Roman"/>
          <w:color w:val="auto"/>
          <w:lang w:val="en-US" w:eastAsia="zh-CN"/>
        </w:rPr>
        <w:t>全行内控、案防、合规工作的总体思路是制定实施以防范操作风险及案件风险为导向，以加强内部控制为核心的工作方案。</w:t>
      </w:r>
      <w:r>
        <w:rPr>
          <w:rFonts w:hint="eastAsia"/>
          <w:color w:val="auto"/>
          <w:lang w:val="en-US" w:eastAsia="zh-CN"/>
        </w:rPr>
        <w:t>依据监管和内控管理要求，结合我行目前业务发展现状，新增和完善全面风险管理的制度和流程，加快制度的建设和执行。按照全面风险管理指标做好各项业务发展与质量控制。2023年，新增制度70个，修订制度41个。其中：办公室新增制度10个，修订制定3个；电子银行部新增制度3个，修订制定8个；风险管理部新增制度10个，修订制度1个；安全保卫部新增制度2个，修订制度1个；合规管理部新增制度2个，修订制度3个；机构运营部新增制度10个，修订制度12个；稽核审计部新增制度4个；计划财务部新增制度1个，修订制度2个；纪检监察室新增制度1个；金融科技部新增制度9个，修订制度2个；普惠金融事业部新增制度11个，修订制定2个；人力资源部新增制度4个，修订制度3个；信贷管理部新增制度4个，修订制度3个；资产保全部新增制定1个。</w:t>
      </w:r>
    </w:p>
    <w:p>
      <w:pPr>
        <w:ind w:firstLine="420" w:firstLineChars="200"/>
        <w:rPr>
          <w:rFonts w:hint="eastAsia"/>
          <w:color w:val="auto"/>
          <w:lang w:val="en-US" w:eastAsia="zh-CN"/>
        </w:rPr>
      </w:pPr>
      <w:r>
        <w:rPr>
          <w:rFonts w:hint="eastAsia"/>
          <w:color w:val="auto"/>
          <w:lang w:val="en-US" w:eastAsia="zh-CN"/>
        </w:rPr>
        <w:t>2023年，合规管理部就我行风险隐患，共下发合规风险提示函2份。对单笔500万元以上的267笔，总额80.43亿元的大额贷款进行合规性审查。合规法务岗共对1051个项目进行了法务审查，提出审查意见1233条。开展“以合规创造价值”的主题演讲比赛、法律知识专题讲座和警示教育等活动，在全行上下进一步倡导“合规促进发展”的价值理念，提升全员合规意识和风险辨别能力，力争让合规操作成为每一名员工的自觉行为和习惯动作，使合规文化的理念成为全行员工的奉行的行为准则。</w:t>
      </w:r>
    </w:p>
    <w:p>
      <w:pPr>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五、声誉风险</w:t>
      </w:r>
    </w:p>
    <w:p>
      <w:pPr>
        <w:pStyle w:val="2"/>
        <w:ind w:firstLine="420" w:firstLineChars="200"/>
        <w:rPr>
          <w:rFonts w:hint="eastAsia"/>
          <w:color w:val="auto"/>
          <w:lang w:val="en-US" w:eastAsia="zh-CN"/>
        </w:rPr>
      </w:pPr>
      <w:r>
        <w:rPr>
          <w:rFonts w:hint="eastAsia"/>
          <w:color w:val="auto"/>
          <w:lang w:val="en-US" w:eastAsia="zh-CN"/>
        </w:rPr>
        <w:t>我行根据《商业银行声誉风险管理指引》《湖南省农村信用社声誉风险管理指导意见》《湖南省农村信用社声誉风险管理实施细则》，制定我行《声誉风险管理办法》，办法规定董事会承担声誉风险管理的最终责任。负责确定声誉风险管理策略和总体目标，掌握声誉风险状况，监督高级管理层开展声誉风险管理。监事会承担声誉风险管理监督责任。负责监督董事会和高级管理层在声誉风险管理方面的履职尽责情况，并将相关情况纳入监事会工作报告。每季度开展一次声誉风险排查，覆盖内部管理、产品设计、业务流程、外部关系等方面，从源头减少声誉风险触发因素，持续完善声誉风险应对预案和相关内部制度。每年开展声誉风险情景模拟和应急演练不少于1次，检视本行应对各种不利事件特别是极端事件的反应能力和适当程度，并将声誉风险情景纳入本机构压力测试体系，在开展各类压力测试过程中充分考虑声誉风险影响。</w:t>
      </w:r>
    </w:p>
    <w:p>
      <w:pPr>
        <w:pStyle w:val="2"/>
        <w:ind w:firstLine="420" w:firstLineChars="200"/>
        <w:rPr>
          <w:rFonts w:hint="eastAsia"/>
          <w:color w:val="auto"/>
          <w:lang w:val="en-US" w:eastAsia="zh-CN"/>
        </w:rPr>
      </w:pPr>
      <w:r>
        <w:rPr>
          <w:rFonts w:hint="eastAsia"/>
          <w:color w:val="auto"/>
          <w:lang w:val="en-US" w:eastAsia="zh-CN"/>
        </w:rPr>
        <w:t>2023年，我行加强正面宣传和舆论引导，加大品牌宣传和形象宣传力度，着力提升广大客户和社会公众的认同感。微信公众号共推送34期各类主题文章147篇，浏览量达8.23万余次。自主拍摄宣传短视频35条；与外部公司开展合作，拍摄短视频62条，浏览量85.68万次，点赞量2.85万次，转发3.54万次，有效巩固了金融宣传效果。全年完成稿件刊发298篇，其中在省联社官网及《湖南农信》期刊发表文章156篇；在其他外部媒体发表文章142篇。</w:t>
      </w: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p>
    <w:p>
      <w:pPr>
        <w:keepNext w:val="0"/>
        <w:keepLines w:val="0"/>
        <w:widowControl/>
        <w:suppressLineNumbers w:val="0"/>
        <w:jc w:val="left"/>
        <w:rPr>
          <w:color w:val="auto"/>
          <w:sz w:val="21"/>
          <w:szCs w:val="21"/>
        </w:rPr>
      </w:pPr>
      <w:r>
        <w:rPr>
          <w:rFonts w:hint="eastAsia" w:ascii="宋体" w:hAnsi="宋体" w:eastAsia="宋体" w:cs="宋体"/>
          <w:b/>
          <w:bCs/>
          <w:color w:val="auto"/>
          <w:kern w:val="0"/>
          <w:sz w:val="21"/>
          <w:szCs w:val="21"/>
          <w:lang w:val="en-US" w:eastAsia="zh-CN" w:bidi="ar"/>
        </w:rPr>
        <w:t>第五部分  公司治理</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一、股东大会</w:t>
      </w:r>
    </w:p>
    <w:p>
      <w:pPr>
        <w:pStyle w:val="2"/>
        <w:ind w:firstLine="420" w:firstLineChars="200"/>
        <w:rPr>
          <w:rFonts w:hint="default"/>
          <w:color w:val="auto"/>
          <w:lang w:val="en-US" w:eastAsia="zh-CN"/>
        </w:rPr>
      </w:pPr>
      <w:r>
        <w:rPr>
          <w:rFonts w:hint="eastAsia"/>
          <w:color w:val="auto"/>
          <w:lang w:val="en-US" w:eastAsia="zh-CN"/>
        </w:rPr>
        <w:t>2023年度股东大会于2023年7月20日在本行总行会议室召开。此次大会出席代表共计持有80246万股，占股份总额的91.19%。因质押股权比例均超过所持株洲农商银行股权的50%以上，限制其在股东大会上的表决权，被限制的股权数4558万股不计入股东大会的有效表决数。未出席股东大会会议，亦未委托代理人出席的所持股权数3196万股。以上股份未计入表决股份。会议的召集、召开符合《中华人民共和国公司法》及本行章程的有关规定，审议了以下议案：</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1.2022年董事会工作报告；</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2.2022年监事会工作报告；</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3.选举股权董事、监事；</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4.2022年度财务决算情况和2023年财务预算报告；</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5.2022年度利润分配及股金分红方案；</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6.2022年度收回股东出资购买不良贷款的返还方案；</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7.2022年年度报告；</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8.2022年度监事会对董事、监事、高级管理人员履职评价报告</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9.修订《授权管理暂行办法》;</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10.修订《章程》</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11.延长发行二级资本债决议有效期。</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二、董事会及其专门委员会</w:t>
      </w: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（一）董事会基本情况</w:t>
      </w:r>
    </w:p>
    <w:p>
      <w:pPr>
        <w:bidi w:val="0"/>
        <w:ind w:firstLine="420" w:firstLineChars="200"/>
        <w:rPr>
          <w:rFonts w:hint="eastAsia"/>
          <w:color w:val="auto"/>
          <w:lang w:val="en-US" w:eastAsia="zh-CN"/>
        </w:rPr>
      </w:pPr>
      <w:r>
        <w:rPr>
          <w:rFonts w:hint="eastAsia"/>
          <w:color w:val="auto"/>
          <w:lang w:val="en-US" w:eastAsia="zh-CN"/>
        </w:rPr>
        <w:t>本行设董事会。董事会对股东大会负责，是股东大会的执行机构和本行的经营决策机构。报告期末，本行董事会由7名董事组成，独立董事2名。董事会下设5个专业委员会，分别是战略委员会、风险管理与关联交易委员会、审计委员会、薪酬与提名委员会和三农金融服务委员会。</w:t>
      </w: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（二）董事变动情况</w:t>
      </w:r>
    </w:p>
    <w:p>
      <w:pPr>
        <w:bidi w:val="0"/>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2023年5月19日，李涛辞去董事职务。2023年5月30日，董事会审议通过。</w:t>
      </w:r>
    </w:p>
    <w:p>
      <w:pPr>
        <w:bidi w:val="0"/>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2023年7月20日，股东大会通过《关于补选株洲农村商业银行股份有限公司第二届董事会董事、第二届监事会监事的议案》</w:t>
      </w: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（三）董事履职情况</w:t>
      </w:r>
    </w:p>
    <w:p>
      <w:pPr>
        <w:bidi w:val="0"/>
        <w:ind w:firstLine="420" w:firstLineChars="200"/>
        <w:rPr>
          <w:rFonts w:hint="eastAsia"/>
          <w:color w:val="auto"/>
          <w:lang w:val="en-US" w:eastAsia="zh-CN"/>
        </w:rPr>
      </w:pPr>
      <w:r>
        <w:rPr>
          <w:rFonts w:hint="eastAsia"/>
          <w:color w:val="auto"/>
          <w:lang w:val="en-US" w:eastAsia="zh-CN"/>
        </w:rPr>
        <w:t>董事忠实、勤勉履行职责，围绕本行发展战略和经营管理重大事项认真审议决策，客观、公正地发表意见，体现了高度的责任心和良好的专业素质。各位独立董事对本行重大事项发表客观、公正的独立意见。织董事积极参与监事会与经营层圆桌会议、股东座谈会等，就加强农商银行公司治理、改革发展等内容进行了深入探讨，提高了董事的履职能力。</w:t>
      </w:r>
    </w:p>
    <w:p>
      <w:pPr>
        <w:bidi w:val="0"/>
        <w:ind w:firstLine="420" w:firstLineChars="200"/>
        <w:rPr>
          <w:rFonts w:hint="eastAsia"/>
          <w:color w:val="auto"/>
          <w:lang w:val="en-US" w:eastAsia="zh-CN"/>
        </w:rPr>
      </w:pPr>
      <w:r>
        <w:rPr>
          <w:rFonts w:hint="eastAsia"/>
          <w:color w:val="auto"/>
          <w:lang w:val="en-US" w:eastAsia="zh-CN"/>
        </w:rPr>
        <w:t>本行董事会召开现场会议4次，临时会议6次，审议通过了50项议案，听取或审阅12项报告，组织了国家政策、监管文件等学习4次。董事会下设五个个专门委员会，共召开11次会议，审议通过11项提案。</w:t>
      </w:r>
    </w:p>
    <w:p>
      <w:pPr>
        <w:keepNext w:val="0"/>
        <w:keepLines w:val="0"/>
        <w:widowControl/>
        <w:suppressLineNumbers w:val="0"/>
        <w:ind w:firstLine="422" w:firstLineChars="2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三、监事会及其专门委员会</w:t>
      </w:r>
    </w:p>
    <w:p>
      <w:pPr>
        <w:keepNext w:val="0"/>
        <w:keepLines w:val="0"/>
        <w:widowControl/>
        <w:suppressLineNumbers w:val="0"/>
        <w:ind w:firstLine="422" w:firstLineChars="2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（一）监事会基本情况</w:t>
      </w:r>
    </w:p>
    <w:p>
      <w:pPr>
        <w:keepNext w:val="0"/>
        <w:keepLines w:val="0"/>
        <w:widowControl/>
        <w:suppressLineNumbers w:val="0"/>
        <w:ind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行设监事会，监事会是本行的监督机构，对股东大会负责，对董事会、高级管理层及其成员进行监督，防止其滥用职权，侵犯股东权益。报告期末，本行监事会由8名监事组成，其中职工监事3名，股权监事2名，外部监事3名。监事会下设2个专业委员会，分别是提名委员会和监督委员会。</w:t>
      </w:r>
    </w:p>
    <w:p>
      <w:pPr>
        <w:keepNext w:val="0"/>
        <w:keepLines w:val="0"/>
        <w:widowControl/>
        <w:suppressLineNumbers w:val="0"/>
        <w:ind w:firstLine="422" w:firstLineChars="2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（二）监事变动情况</w:t>
      </w:r>
    </w:p>
    <w:p>
      <w:pPr>
        <w:keepNext w:val="0"/>
        <w:keepLines w:val="0"/>
        <w:widowControl/>
        <w:suppressLineNumbers w:val="0"/>
        <w:ind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无。</w:t>
      </w:r>
    </w:p>
    <w:p>
      <w:pPr>
        <w:keepNext w:val="0"/>
        <w:keepLines w:val="0"/>
        <w:widowControl/>
        <w:suppressLineNumbers w:val="0"/>
        <w:ind w:firstLine="422" w:firstLineChars="2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（三）监事履职情况</w:t>
      </w:r>
    </w:p>
    <w:p>
      <w:pPr>
        <w:keepNext w:val="0"/>
        <w:keepLines w:val="0"/>
        <w:widowControl/>
        <w:suppressLineNumbers w:val="0"/>
        <w:ind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各位监事均能够积极参加监事会组织的各项检查和调研活动，对董事会、高级管理层及其成员的尽责履职情况进行监督，对本行财务活动、员工薪酬管理、业务结构调整及发展、内控案防工作开展、全面风险管理机制建设和内审体制完善等方面提出工作意见和建议。外部监事作为监事会专门委员会召集人，能够按照职责权限认真组织开展专门委员会工作，及时召开专门委员会会议形成专业意见，或者根据监事会授权对专门事项形成专业意见，按照监事会工作计划组织和参加专项检查活动。各位监事均能够亲自出席三分之二以上的监事会会议；未发现监事有利用职权谋取私利、泄露本行商业秘密以及监事所任职务与其在本行的任职存在利益冲突的情形。</w:t>
      </w:r>
    </w:p>
    <w:p>
      <w:pPr>
        <w:keepNext w:val="0"/>
        <w:keepLines w:val="0"/>
        <w:widowControl/>
        <w:suppressLineNumbers w:val="0"/>
        <w:ind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报告期内，本行监事会共召开监事会工作例会5次，审议通过各项议案47项；监事会监督委员会召开会议2次，通过6个议项；监事会提名委员会召开会议1次，通过3个议项。监事会成员共出席股东大会1次，现场列席董事会会议4次；监事长及监事还直接参加了全行各类经营工作会议、合规内控与案防会议、风控会议等。通过参加、列席各类会议和活动，使监事会更及时、全面地获取各类经营管理信息，并及时向董事会和经营层提出监督意见、建议或提示，2023年监事会向经营层发出各类监督意见函5份，提出监督意见66条，同时对董事会制定的株洲农村商业银行股份有限公司五年改革发展规划及年度工作规划的科学性、合理性和有效性进行分析评估，形成了评估报告，进一步强化了履职监督职责。扎实开展履职评价，在监事会会议上审议通过对董事、监事、高管人员的履职评价办法，通过科学设定履职评价的考评项目、考评标准、考评指标等，有效提高了监事会监督评价水平。</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bookmarkStart w:id="21" w:name="_GoBack"/>
      <w:bookmarkEnd w:id="21"/>
      <w:r>
        <w:rPr>
          <w:rFonts w:hint="eastAsia" w:ascii="宋体" w:hAnsi="宋体" w:eastAsia="宋体" w:cs="宋体"/>
          <w:b/>
          <w:bCs/>
          <w:color w:val="auto"/>
          <w:kern w:val="0"/>
          <w:sz w:val="21"/>
          <w:szCs w:val="21"/>
          <w:lang w:val="en-US" w:eastAsia="zh-CN" w:bidi="ar"/>
        </w:rPr>
        <w:t>四、高级管理层</w:t>
      </w:r>
    </w:p>
    <w:p>
      <w:pPr>
        <w:bidi w:val="0"/>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报告期末，本行高级管理层有4名人员，包括副行长3名、风险总监。</w:t>
      </w:r>
    </w:p>
    <w:p>
      <w:pPr>
        <w:bidi w:val="0"/>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2023年高级管理层下设专业委员会共计7个，分别是财务审批、合规风险管理、贷款审批、集中采购、投资决策、信息科技、资产负债管理等委员会。</w:t>
      </w:r>
    </w:p>
    <w:p>
      <w:pPr>
        <w:bidi w:val="0"/>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报告期内高级管理层克服外部不利因素影响，及时调整分工，坚持在党委领导下，忠实履行本行章程规定的职责，严格执行董事会的各项议案，自觉接受监事会监督。</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五、组织架构、分支机构及员工情况</w:t>
      </w: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（一）组织架构与分支机构</w:t>
      </w:r>
    </w:p>
    <w:p>
      <w:pPr>
        <w:bidi w:val="0"/>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报告期末，本行共有内设部门18个，1个营业部和38家支行。本行组织架构见下图：</w:t>
      </w:r>
    </w:p>
    <w:p>
      <w:pPr>
        <w:ind w:firstLine="420" w:firstLineChars="200"/>
        <w:rPr>
          <w:rFonts w:hint="eastAsia"/>
          <w:color w:val="C00000"/>
          <w:sz w:val="21"/>
          <w:szCs w:val="21"/>
          <w:lang w:eastAsia="zh-CN"/>
        </w:rPr>
      </w:pPr>
    </w:p>
    <w:p>
      <w:pPr>
        <w:bidi w:val="0"/>
        <w:ind w:firstLine="422" w:firstLineChars="200"/>
        <w:rPr>
          <w:rFonts w:hint="eastAsia" w:ascii="宋体" w:hAnsi="宋体" w:eastAsia="宋体" w:cs="宋体"/>
          <w:b/>
          <w:bCs/>
          <w:color w:val="auto"/>
          <w:lang w:val="en-US" w:eastAsia="zh-CN"/>
        </w:rPr>
      </w:pPr>
    </w:p>
    <w:p>
      <w:pPr>
        <w:bidi w:val="0"/>
        <w:ind w:firstLine="422" w:firstLineChars="200"/>
        <w:rPr>
          <w:rFonts w:hint="eastAsia" w:ascii="宋体" w:hAnsi="宋体" w:eastAsia="宋体" w:cs="宋体"/>
          <w:b/>
          <w:bCs/>
          <w:color w:val="auto"/>
          <w:lang w:val="en-US" w:eastAsia="zh-CN"/>
        </w:rPr>
      </w:pPr>
    </w:p>
    <w:p>
      <w:pPr>
        <w:bidi w:val="0"/>
        <w:ind w:firstLine="422" w:firstLineChars="200"/>
        <w:rPr>
          <w:rFonts w:hint="eastAsia" w:ascii="宋体" w:hAnsi="宋体" w:eastAsia="宋体" w:cs="宋体"/>
          <w:b/>
          <w:bCs/>
          <w:color w:val="auto"/>
          <w:lang w:val="en-US" w:eastAsia="zh-CN"/>
        </w:rPr>
      </w:pP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drawing>
          <wp:anchor distT="0" distB="0" distL="114300" distR="114300" simplePos="0" relativeHeight="251661312" behindDoc="0" locked="0" layoutInCell="1" allowOverlap="1">
            <wp:simplePos x="0" y="0"/>
            <wp:positionH relativeFrom="column">
              <wp:align>center</wp:align>
            </wp:positionH>
            <wp:positionV relativeFrom="paragraph">
              <wp:posOffset>179705</wp:posOffset>
            </wp:positionV>
            <wp:extent cx="5596255" cy="3147695"/>
            <wp:effectExtent l="0" t="0" r="4445" b="14605"/>
            <wp:wrapTopAndBottom/>
            <wp:docPr id="4" name="图片 4" descr="株洲农村商业银行股份有限公司 组织结构图 20240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株洲农村商业银行股份有限公司 组织结构图 202401_01"/>
                    <pic:cNvPicPr>
                      <a:picLocks noChangeAspect="1"/>
                    </pic:cNvPicPr>
                  </pic:nvPicPr>
                  <pic:blipFill>
                    <a:blip r:embed="rId6"/>
                    <a:stretch>
                      <a:fillRect/>
                    </a:stretch>
                  </pic:blipFill>
                  <pic:spPr>
                    <a:xfrm>
                      <a:off x="0" y="0"/>
                      <a:ext cx="5596255" cy="3147695"/>
                    </a:xfrm>
                    <a:prstGeom prst="rect">
                      <a:avLst/>
                    </a:prstGeom>
                  </pic:spPr>
                </pic:pic>
              </a:graphicData>
            </a:graphic>
          </wp:anchor>
        </w:drawing>
      </w:r>
    </w:p>
    <w:p>
      <w:pPr>
        <w:bidi w:val="0"/>
        <w:ind w:firstLine="422" w:firstLineChars="200"/>
        <w:rPr>
          <w:rFonts w:hint="eastAsia" w:ascii="宋体" w:hAnsi="宋体" w:eastAsia="宋体" w:cs="宋体"/>
          <w:b/>
          <w:bCs/>
          <w:color w:val="auto"/>
          <w:lang w:val="en-US" w:eastAsia="zh-CN"/>
        </w:rPr>
      </w:pPr>
    </w:p>
    <w:p>
      <w:pPr>
        <w:bidi w:val="0"/>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（二）员工情况</w:t>
      </w:r>
    </w:p>
    <w:p>
      <w:pPr>
        <w:ind w:firstLine="420" w:firstLineChars="200"/>
        <w:rPr>
          <w:rFonts w:hint="eastAsia"/>
          <w:color w:val="auto"/>
          <w:sz w:val="21"/>
          <w:szCs w:val="21"/>
          <w:lang w:eastAsia="zh-CN"/>
        </w:rPr>
      </w:pPr>
      <w:r>
        <w:rPr>
          <w:rFonts w:hint="eastAsia"/>
          <w:color w:val="auto"/>
          <w:sz w:val="21"/>
          <w:szCs w:val="21"/>
          <w:lang w:eastAsia="zh-CN"/>
        </w:rPr>
        <w:t>2023年末，本行在岗员工507人，平均年龄39.12岁。从学历结构看，研究生以上25人，占4.93%；本科318人，占62.72%；大专及以下164人，占32.35%。从职称结构看，具有中级职称的41人，占8.09%；具有初级职称的63人，占12.43%。</w:t>
      </w:r>
    </w:p>
    <w:p>
      <w:pPr>
        <w:ind w:firstLine="420" w:firstLineChars="200"/>
        <w:rPr>
          <w:rFonts w:hint="eastAsia"/>
          <w:color w:val="auto"/>
          <w:sz w:val="21"/>
          <w:szCs w:val="21"/>
          <w:lang w:eastAsia="zh-CN"/>
        </w:rPr>
      </w:pPr>
      <w:r>
        <w:rPr>
          <w:rFonts w:hint="eastAsia"/>
          <w:color w:val="auto"/>
          <w:sz w:val="21"/>
          <w:szCs w:val="21"/>
          <w:lang w:eastAsia="zh-CN"/>
        </w:rPr>
        <w:t>报告期内，一是德才兼备“用对人”。通过设立军令状“揭榜挂帅”的方式，开展了中层管理岗位竞聘2轮，成功竞聘17人，其中部室负责人5人，支行负责人6人，分别占部室和支行总数的30%、15%，竞聘上岗的支行负责人中有5人排名在业务的第一梯队；实施副职后备人才选拔，择优选拔了30名员工进行考察，最终选拔20名中层副职后备干部。二是夯实基础“管理人”。完善考核评价制度，修订《支行行长考核评价办法》《支行副行长考核评价办法》《机关员工考核评价办法》等制度；制定下发《关于进一步规范总行考勤管理工作的通知》，规范考勤管理。三是分类指导“培育人”。建立“星火学院”培训基地，实现学练考一体化，首次承办了全市农商银行四期新员工实操培训；加强内训师团队培养，开展运营条线内训师选拔，5名参选人员脱颖而出；组织29名新员工参加师徒结对活动，进一步发挥业务骨干的“传帮带”作用。</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五、社会责任</w:t>
      </w:r>
    </w:p>
    <w:p>
      <w:pPr>
        <w:bidi w:val="0"/>
        <w:ind w:firstLine="420" w:firstLineChars="200"/>
        <w:rPr>
          <w:rFonts w:hint="eastAsia"/>
          <w:color w:val="auto"/>
          <w:lang w:val="en-US" w:eastAsia="zh-CN"/>
        </w:rPr>
      </w:pPr>
      <w:r>
        <w:rPr>
          <w:rFonts w:hint="eastAsia"/>
          <w:color w:val="auto"/>
          <w:lang w:val="en-US" w:eastAsia="zh-CN"/>
        </w:rPr>
        <w:t>2023年，董事会在稳健经营、持续创造经济效益和争取为股东带来最大价值的同时，兼顾社会效益，把履行企业社会责任作为实现社会价值的平台和提升本行核心竞争力、构筑良好企业形象的有效途径。</w:t>
      </w:r>
    </w:p>
    <w:p>
      <w:pPr>
        <w:bidi w:val="0"/>
        <w:ind w:firstLine="420" w:firstLineChars="200"/>
        <w:rPr>
          <w:rFonts w:hint="eastAsia"/>
          <w:color w:val="auto"/>
          <w:lang w:val="en-US" w:eastAsia="zh-CN"/>
        </w:rPr>
      </w:pPr>
      <w:r>
        <w:rPr>
          <w:rFonts w:hint="eastAsia"/>
          <w:color w:val="auto"/>
          <w:lang w:val="en-US" w:eastAsia="zh-CN"/>
        </w:rPr>
        <w:t>（一）坚持聚焦民生福祉，坚守为民初心</w:t>
      </w:r>
    </w:p>
    <w:p>
      <w:pPr>
        <w:bidi w:val="0"/>
        <w:ind w:firstLine="420" w:firstLineChars="200"/>
        <w:rPr>
          <w:rFonts w:hint="eastAsia"/>
          <w:color w:val="auto"/>
          <w:lang w:val="en-US" w:eastAsia="zh-CN"/>
        </w:rPr>
      </w:pPr>
      <w:r>
        <w:rPr>
          <w:rFonts w:hint="eastAsia"/>
          <w:color w:val="auto"/>
          <w:lang w:val="en-US" w:eastAsia="zh-CN"/>
        </w:rPr>
        <w:t>一是持续开展“我为群众办实事”实践活动，成立“福祥金融志愿者”服务队，广泛开展具有特色的志愿服务活动，组织182名党员走访群众336名。二是大兴调查研究之风。深入开展“走找想促”活动，持续推进“总行走基层”“三送三解三优”工作，经验做法在株洲新闻联播专题报道。三是全面推进整村授信工作。采用“背靠背评议”+线上快贷白名单“无感授信”模式，进一步激发客户用信体验。扎实推进信用村镇建设，打造龙凤庵村、湘滨社区、白马村、仙庾村等4个乡村振兴示范村。派驻金融专员8名，评级建档1553户，解决信贷需求2923.4万元。</w:t>
      </w:r>
    </w:p>
    <w:p>
      <w:pPr>
        <w:bidi w:val="0"/>
        <w:ind w:firstLine="420" w:firstLineChars="200"/>
        <w:rPr>
          <w:rFonts w:hint="default"/>
          <w:color w:val="auto"/>
          <w:lang w:val="en-US" w:eastAsia="zh-CN"/>
        </w:rPr>
      </w:pPr>
      <w:r>
        <w:rPr>
          <w:rFonts w:hint="eastAsia"/>
          <w:color w:val="auto"/>
          <w:lang w:val="en-US" w:eastAsia="zh-CN"/>
        </w:rPr>
        <w:t>（二）坚持服务实体经济，践行金融宗旨</w:t>
      </w:r>
    </w:p>
    <w:p>
      <w:pPr>
        <w:bidi w:val="0"/>
        <w:ind w:firstLine="420" w:firstLineChars="200"/>
        <w:rPr>
          <w:rFonts w:hint="eastAsia"/>
          <w:color w:val="auto"/>
          <w:lang w:val="en-US" w:eastAsia="zh-CN"/>
        </w:rPr>
      </w:pPr>
      <w:r>
        <w:rPr>
          <w:rFonts w:hint="eastAsia"/>
          <w:color w:val="auto"/>
          <w:lang w:val="en-US" w:eastAsia="zh-CN"/>
        </w:rPr>
        <w:t>一是抓准贷款投放。对标对表落实株洲市加快构建“3+3+2”现代产业体系，大力实施先进制造业“七大工程”工作部署，持续加大对乡村振兴、“三高四新”、绿色发展、居民消费、科技创新等重点领域支持力度。普惠型小微企业贷款余额38.99亿元，较年初净增9.98亿元，增速34.40%；普惠型涉农贷款21.66亿元，较年初净增2.11亿元，增速10.77％。二是抓实网格管理。制订网格化营销战略，实施“一二三四五”规定动作。对全辖社区、市场、商会和协会等1126个网格进行区域网格、网格联络员、金融服务员名单“三上墙”，加入网格联络群465个，开展微沙龙1126次，走访5327次，关键人维护2413次，存量客户回访16774次，建档户数7021户，派驻金融专员107个。村级经济组织走访率100%，已开户86户，开户率90.53%，“三资监管”平台资料报送82户，报送率85.42%。三是抓细客户分类。对信贷客户划型分类，根据客户资信状况、综合贡献分为优质客户、一般客户和其他客户，分别制订维护策略，提升获客效率。</w:t>
      </w:r>
    </w:p>
    <w:p>
      <w:pPr>
        <w:bidi w:val="0"/>
        <w:ind w:firstLine="420" w:firstLineChars="200"/>
        <w:rPr>
          <w:rFonts w:hint="eastAsia"/>
          <w:color w:val="auto"/>
          <w:lang w:val="en-US" w:eastAsia="zh-CN"/>
        </w:rPr>
      </w:pPr>
      <w:r>
        <w:rPr>
          <w:rFonts w:hint="eastAsia"/>
          <w:color w:val="auto"/>
          <w:lang w:val="en-US" w:eastAsia="zh-CN"/>
        </w:rPr>
        <w:t>（三）坚持紧贴金融需求，提升服务质效</w:t>
      </w:r>
    </w:p>
    <w:p>
      <w:pPr>
        <w:bidi w:val="0"/>
        <w:ind w:firstLine="420" w:firstLineChars="200"/>
        <w:rPr>
          <w:rFonts w:hint="eastAsia"/>
          <w:color w:val="auto"/>
          <w:lang w:val="en-US" w:eastAsia="zh-CN"/>
        </w:rPr>
      </w:pPr>
      <w:r>
        <w:rPr>
          <w:rFonts w:hint="eastAsia"/>
          <w:color w:val="auto"/>
          <w:lang w:val="en-US" w:eastAsia="zh-CN"/>
        </w:rPr>
        <w:t>一是用好党建+普惠平台。主动应对市场需求变化，充分利用党建共建活动契机，开展各类活动，开展“普惠金融节”系列活动150余场，参加人员达3万余人。二是用好银企对接平台。以银企对接会为抓手，从上到下赋能，与株洲市石峰区政府、株洲市工商联、株洲市餐饮行业协会、建材家具行业商会等单位联合开展20场银企对接会，800家小微企业及个体工商户参加，与15家商、协会签订《战略合作协议》，授信合计14.5亿元。三是用好政银合作平台。加大产品研发力度。推出“信易贷”“湘农E担贷”“知识信用价值贷”“兴业贷”“企易贷”等12款信贷产品；积极推动应收账款融资质押试点、动产融资质押试点和农村产权抵质押融资试点工作，破解“无抵押”融资难题。在株洲市委统战部组织的“三百三助”活动中，获“先进单位”荣誉称号。四是用好人行政策工具。切实发挥人民银行支农再贷款政策效应，有效降低经营成本、减轻客户融资负担，全年累计申请12笔再贴现业务12.54亿元、3笔支小再贷款4.62亿元。</w:t>
      </w:r>
    </w:p>
    <w:p>
      <w:pPr>
        <w:bidi w:val="0"/>
        <w:ind w:firstLine="422" w:firstLineChars="200"/>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六、所获荣誉</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1.2023年1月，被《中国农村信用合作报》社评为2022年度“农村金融系统新闻宣传报道先进单位”；</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ascii="Times New Roman" w:hAnsi="Times New Roman"/>
          <w:color w:val="auto"/>
          <w:lang w:val="en-US" w:eastAsia="zh-CN"/>
        </w:rPr>
        <w:t>2.2023年6月，在株洲市银行业第四届“银协杯”气排球比赛中荣获第四名。</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3.2023年11月，金融助力龙凤俺村案例被中国区域经济学会金融专业委员评选为《2023年金融服务乡村振兴典型案例》；</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4.2023年11月，微信公众号在全国第二届微信公众号影响力评价结果发布会上，获中国农村金融评选的“推文内容作品奖”；</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5.2023年12月，在株洲市委统战部组织的“三百三助”活动中，获“先进单位”荣誉称号。</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6.2023年12月，被《中国农村金融合作报》社授予2023年度“农村金融系统新闻宣传报道先进单位”荣誉称号。</w:t>
      </w:r>
    </w:p>
    <w:p>
      <w:pPr>
        <w:keepNext w:val="0"/>
        <w:keepLines w:val="0"/>
        <w:widowControl/>
        <w:suppressLineNumbers w:val="0"/>
        <w:jc w:val="left"/>
        <w:rPr>
          <w:rFonts w:hint="eastAsia" w:ascii="宋体" w:hAnsi="宋体" w:eastAsia="宋体" w:cs="宋体"/>
          <w:b/>
          <w:bCs/>
          <w:color w:val="C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第六部分  其他重要事项</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一、关联交易事项</w:t>
      </w:r>
    </w:p>
    <w:p>
      <w:pPr>
        <w:bidi w:val="0"/>
        <w:ind w:left="0" w:leftChars="0" w:firstLine="0" w:firstLineChars="0"/>
        <w:jc w:val="center"/>
        <w:rPr>
          <w:b/>
          <w:bCs/>
          <w:color w:val="auto"/>
        </w:rPr>
      </w:pPr>
      <w:r>
        <w:rPr>
          <w:rFonts w:hint="eastAsia"/>
          <w:b/>
          <w:bCs/>
          <w:color w:val="auto"/>
          <w:lang w:val="en-US" w:eastAsia="zh-CN"/>
        </w:rPr>
        <w:t>授信类</w:t>
      </w:r>
      <w:r>
        <w:rPr>
          <w:b/>
          <w:bCs/>
          <w:color w:val="auto"/>
        </w:rPr>
        <w:t>关联交易总量</w:t>
      </w:r>
    </w:p>
    <w:p>
      <w:pPr>
        <w:bidi w:val="0"/>
        <w:jc w:val="right"/>
        <w:rPr>
          <w:color w:val="auto"/>
        </w:rPr>
      </w:pPr>
      <w:r>
        <w:rPr>
          <w:color w:val="auto"/>
        </w:rPr>
        <w:t>单位：万元</w:t>
      </w:r>
    </w:p>
    <w:tbl>
      <w:tblPr>
        <w:tblStyle w:val="10"/>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525"/>
        <w:gridCol w:w="1532"/>
        <w:gridCol w:w="1912"/>
        <w:gridCol w:w="1474"/>
        <w:gridCol w:w="1324"/>
        <w:gridCol w:w="128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blHeader/>
        </w:trPr>
        <w:tc>
          <w:tcPr>
            <w:tcW w:w="842" w:type="pct"/>
            <w:shd w:val="clear" w:color="auto" w:fill="auto"/>
            <w:vAlign w:val="center"/>
          </w:tcPr>
          <w:p>
            <w:pPr>
              <w:widowControl/>
              <w:jc w:val="center"/>
              <w:rPr>
                <w:color w:val="auto"/>
                <w:kern w:val="0"/>
                <w:sz w:val="20"/>
                <w:szCs w:val="20"/>
              </w:rPr>
            </w:pPr>
            <w:r>
              <w:rPr>
                <w:color w:val="auto"/>
                <w:kern w:val="0"/>
                <w:sz w:val="20"/>
                <w:szCs w:val="20"/>
              </w:rPr>
              <w:t>交易类别</w:t>
            </w:r>
          </w:p>
        </w:tc>
        <w:tc>
          <w:tcPr>
            <w:tcW w:w="846" w:type="pct"/>
            <w:shd w:val="clear" w:color="auto" w:fill="auto"/>
            <w:vAlign w:val="center"/>
          </w:tcPr>
          <w:p>
            <w:pPr>
              <w:widowControl/>
              <w:jc w:val="center"/>
              <w:rPr>
                <w:color w:val="auto"/>
                <w:kern w:val="0"/>
                <w:sz w:val="20"/>
                <w:szCs w:val="20"/>
              </w:rPr>
            </w:pPr>
            <w:r>
              <w:rPr>
                <w:color w:val="auto"/>
                <w:kern w:val="0"/>
                <w:sz w:val="20"/>
                <w:szCs w:val="20"/>
              </w:rPr>
              <w:t>关联关系</w:t>
            </w:r>
          </w:p>
        </w:tc>
        <w:tc>
          <w:tcPr>
            <w:tcW w:w="1056" w:type="pct"/>
            <w:shd w:val="clear" w:color="auto" w:fill="auto"/>
            <w:vAlign w:val="center"/>
          </w:tcPr>
          <w:p>
            <w:pPr>
              <w:widowControl/>
              <w:jc w:val="center"/>
              <w:rPr>
                <w:color w:val="auto"/>
                <w:kern w:val="0"/>
                <w:sz w:val="20"/>
                <w:szCs w:val="20"/>
              </w:rPr>
            </w:pPr>
            <w:r>
              <w:rPr>
                <w:color w:val="auto"/>
                <w:kern w:val="0"/>
                <w:sz w:val="20"/>
                <w:szCs w:val="20"/>
              </w:rPr>
              <w:t>贷款余额</w:t>
            </w:r>
          </w:p>
        </w:tc>
        <w:tc>
          <w:tcPr>
            <w:tcW w:w="814" w:type="pct"/>
            <w:shd w:val="clear" w:color="auto" w:fill="auto"/>
            <w:vAlign w:val="center"/>
          </w:tcPr>
          <w:p>
            <w:pPr>
              <w:widowControl/>
              <w:jc w:val="center"/>
              <w:rPr>
                <w:color w:val="auto"/>
                <w:kern w:val="0"/>
                <w:sz w:val="20"/>
                <w:szCs w:val="20"/>
              </w:rPr>
            </w:pPr>
            <w:r>
              <w:rPr>
                <w:rFonts w:hint="eastAsia"/>
                <w:color w:val="auto"/>
                <w:kern w:val="0"/>
                <w:sz w:val="20"/>
                <w:szCs w:val="20"/>
              </w:rPr>
              <w:t>服务类余额</w:t>
            </w:r>
          </w:p>
        </w:tc>
        <w:tc>
          <w:tcPr>
            <w:tcW w:w="731" w:type="pct"/>
            <w:shd w:val="clear" w:color="auto" w:fill="auto"/>
          </w:tcPr>
          <w:p>
            <w:pPr>
              <w:widowControl/>
              <w:jc w:val="center"/>
              <w:rPr>
                <w:color w:val="auto"/>
                <w:kern w:val="0"/>
                <w:sz w:val="20"/>
                <w:szCs w:val="20"/>
              </w:rPr>
            </w:pPr>
            <w:r>
              <w:rPr>
                <w:color w:val="auto"/>
                <w:kern w:val="0"/>
                <w:sz w:val="20"/>
                <w:szCs w:val="20"/>
              </w:rPr>
              <w:t>承兑余额</w:t>
            </w:r>
          </w:p>
        </w:tc>
        <w:tc>
          <w:tcPr>
            <w:tcW w:w="711" w:type="pct"/>
          </w:tcPr>
          <w:p>
            <w:pPr>
              <w:widowControl/>
              <w:jc w:val="center"/>
              <w:rPr>
                <w:color w:val="auto"/>
                <w:kern w:val="0"/>
                <w:sz w:val="20"/>
                <w:szCs w:val="20"/>
              </w:rPr>
            </w:pPr>
            <w:r>
              <w:rPr>
                <w:color w:val="auto"/>
                <w:kern w:val="0"/>
                <w:sz w:val="20"/>
                <w:szCs w:val="20"/>
              </w:rPr>
              <w:t>承兑余额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842" w:type="pct"/>
            <w:shd w:val="clear" w:color="auto" w:fill="auto"/>
            <w:vAlign w:val="center"/>
          </w:tcPr>
          <w:p>
            <w:pPr>
              <w:jc w:val="center"/>
              <w:rPr>
                <w:color w:val="auto"/>
                <w:sz w:val="20"/>
                <w:szCs w:val="20"/>
              </w:rPr>
            </w:pPr>
            <w:r>
              <w:rPr>
                <w:color w:val="auto"/>
                <w:sz w:val="20"/>
                <w:szCs w:val="20"/>
              </w:rPr>
              <w:t>法人</w:t>
            </w:r>
            <w:r>
              <w:rPr>
                <w:rFonts w:hint="eastAsia"/>
                <w:color w:val="auto"/>
                <w:sz w:val="20"/>
                <w:szCs w:val="20"/>
                <w:lang w:val="en-US" w:eastAsia="zh-CN"/>
              </w:rPr>
              <w:t>17</w:t>
            </w:r>
            <w:r>
              <w:rPr>
                <w:color w:val="auto"/>
                <w:sz w:val="20"/>
                <w:szCs w:val="20"/>
              </w:rPr>
              <w:t>户</w:t>
            </w:r>
          </w:p>
        </w:tc>
        <w:tc>
          <w:tcPr>
            <w:tcW w:w="846" w:type="pct"/>
            <w:shd w:val="clear" w:color="auto" w:fill="auto"/>
            <w:vAlign w:val="center"/>
          </w:tcPr>
          <w:p>
            <w:pPr>
              <w:widowControl/>
              <w:jc w:val="center"/>
              <w:textAlignment w:val="center"/>
              <w:rPr>
                <w:color w:val="auto"/>
                <w:sz w:val="20"/>
                <w:szCs w:val="20"/>
              </w:rPr>
            </w:pPr>
            <w:r>
              <w:rPr>
                <w:color w:val="auto"/>
                <w:kern w:val="0"/>
                <w:sz w:val="20"/>
                <w:szCs w:val="20"/>
              </w:rPr>
              <w:t>关联法人</w:t>
            </w:r>
          </w:p>
        </w:tc>
        <w:tc>
          <w:tcPr>
            <w:tcW w:w="1056" w:type="pct"/>
            <w:shd w:val="clear" w:color="auto" w:fill="auto"/>
            <w:vAlign w:val="center"/>
          </w:tcPr>
          <w:p>
            <w:pPr>
              <w:widowControl/>
              <w:jc w:val="right"/>
              <w:textAlignment w:val="center"/>
              <w:rPr>
                <w:rFonts w:hint="default" w:eastAsiaTheme="minorEastAsia"/>
                <w:color w:val="auto"/>
                <w:sz w:val="20"/>
                <w:szCs w:val="20"/>
                <w:lang w:val="en-US" w:eastAsia="zh-CN"/>
              </w:rPr>
            </w:pPr>
            <w:r>
              <w:rPr>
                <w:rFonts w:hint="eastAsia"/>
                <w:color w:val="auto"/>
                <w:sz w:val="20"/>
                <w:szCs w:val="20"/>
                <w:lang w:val="en-US" w:eastAsia="zh-CN"/>
              </w:rPr>
              <w:t>68772.34</w:t>
            </w:r>
          </w:p>
        </w:tc>
        <w:tc>
          <w:tcPr>
            <w:tcW w:w="814" w:type="pct"/>
            <w:shd w:val="clear" w:color="auto" w:fill="auto"/>
            <w:vAlign w:val="center"/>
          </w:tcPr>
          <w:p>
            <w:pPr>
              <w:widowControl/>
              <w:jc w:val="right"/>
              <w:rPr>
                <w:rFonts w:hint="default" w:eastAsiaTheme="minorEastAsia"/>
                <w:color w:val="auto"/>
                <w:kern w:val="0"/>
                <w:sz w:val="20"/>
                <w:szCs w:val="20"/>
                <w:lang w:val="en-US" w:eastAsia="zh-CN"/>
              </w:rPr>
            </w:pPr>
            <w:r>
              <w:rPr>
                <w:rFonts w:hint="eastAsia"/>
                <w:color w:val="auto"/>
                <w:kern w:val="0"/>
                <w:sz w:val="20"/>
                <w:szCs w:val="20"/>
                <w:lang w:val="en-US" w:eastAsia="zh-CN"/>
              </w:rPr>
              <w:t>952.65</w:t>
            </w:r>
          </w:p>
        </w:tc>
        <w:tc>
          <w:tcPr>
            <w:tcW w:w="731" w:type="pct"/>
            <w:shd w:val="clear" w:color="auto" w:fill="auto"/>
            <w:vAlign w:val="center"/>
          </w:tcPr>
          <w:p>
            <w:pPr>
              <w:widowControl/>
              <w:jc w:val="right"/>
              <w:rPr>
                <w:color w:val="auto"/>
                <w:kern w:val="0"/>
                <w:sz w:val="20"/>
                <w:szCs w:val="20"/>
              </w:rPr>
            </w:pPr>
          </w:p>
        </w:tc>
        <w:tc>
          <w:tcPr>
            <w:tcW w:w="711" w:type="pct"/>
            <w:vAlign w:val="center"/>
          </w:tcPr>
          <w:p>
            <w:pPr>
              <w:widowControl/>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842" w:type="pct"/>
            <w:shd w:val="clear" w:color="auto" w:fill="auto"/>
            <w:vAlign w:val="center"/>
          </w:tcPr>
          <w:p>
            <w:pPr>
              <w:jc w:val="center"/>
              <w:rPr>
                <w:color w:val="auto"/>
                <w:sz w:val="20"/>
                <w:szCs w:val="20"/>
              </w:rPr>
            </w:pPr>
            <w:r>
              <w:rPr>
                <w:color w:val="auto"/>
                <w:sz w:val="20"/>
                <w:szCs w:val="20"/>
              </w:rPr>
              <w:t>自然人</w:t>
            </w:r>
            <w:r>
              <w:rPr>
                <w:rFonts w:hint="eastAsia"/>
                <w:color w:val="auto"/>
                <w:sz w:val="20"/>
                <w:szCs w:val="20"/>
                <w:lang w:val="en-US" w:eastAsia="zh-CN"/>
              </w:rPr>
              <w:t>47</w:t>
            </w:r>
            <w:r>
              <w:rPr>
                <w:color w:val="auto"/>
                <w:sz w:val="20"/>
                <w:szCs w:val="20"/>
              </w:rPr>
              <w:t>户</w:t>
            </w:r>
          </w:p>
        </w:tc>
        <w:tc>
          <w:tcPr>
            <w:tcW w:w="846" w:type="pct"/>
            <w:shd w:val="clear" w:color="auto" w:fill="auto"/>
            <w:vAlign w:val="center"/>
          </w:tcPr>
          <w:p>
            <w:pPr>
              <w:widowControl/>
              <w:jc w:val="center"/>
              <w:rPr>
                <w:color w:val="auto"/>
                <w:kern w:val="0"/>
                <w:sz w:val="20"/>
                <w:szCs w:val="20"/>
              </w:rPr>
            </w:pPr>
            <w:r>
              <w:rPr>
                <w:color w:val="auto"/>
                <w:kern w:val="0"/>
                <w:sz w:val="20"/>
                <w:szCs w:val="20"/>
              </w:rPr>
              <w:t>关联自然人</w:t>
            </w:r>
          </w:p>
        </w:tc>
        <w:tc>
          <w:tcPr>
            <w:tcW w:w="1056" w:type="pct"/>
            <w:shd w:val="clear" w:color="auto" w:fill="auto"/>
            <w:vAlign w:val="center"/>
          </w:tcPr>
          <w:p>
            <w:pPr>
              <w:jc w:val="right"/>
              <w:rPr>
                <w:rFonts w:hint="default" w:eastAsiaTheme="minorEastAsia"/>
                <w:color w:val="auto"/>
                <w:sz w:val="20"/>
                <w:szCs w:val="20"/>
                <w:lang w:val="en-US" w:eastAsia="zh-CN"/>
              </w:rPr>
            </w:pPr>
            <w:r>
              <w:rPr>
                <w:rFonts w:hint="eastAsia"/>
                <w:color w:val="auto"/>
                <w:sz w:val="20"/>
                <w:szCs w:val="20"/>
                <w:lang w:val="en-US" w:eastAsia="zh-CN"/>
              </w:rPr>
              <w:t>2846.95</w:t>
            </w:r>
          </w:p>
        </w:tc>
        <w:tc>
          <w:tcPr>
            <w:tcW w:w="814" w:type="pct"/>
            <w:shd w:val="clear" w:color="auto" w:fill="auto"/>
            <w:vAlign w:val="center"/>
          </w:tcPr>
          <w:p>
            <w:pPr>
              <w:widowControl/>
              <w:jc w:val="right"/>
              <w:rPr>
                <w:color w:val="auto"/>
                <w:kern w:val="0"/>
                <w:sz w:val="20"/>
                <w:szCs w:val="20"/>
              </w:rPr>
            </w:pPr>
          </w:p>
        </w:tc>
        <w:tc>
          <w:tcPr>
            <w:tcW w:w="731" w:type="pct"/>
            <w:shd w:val="clear" w:color="auto" w:fill="auto"/>
            <w:vAlign w:val="center"/>
          </w:tcPr>
          <w:p>
            <w:pPr>
              <w:widowControl/>
              <w:jc w:val="right"/>
              <w:rPr>
                <w:color w:val="auto"/>
                <w:kern w:val="0"/>
                <w:sz w:val="20"/>
                <w:szCs w:val="20"/>
              </w:rPr>
            </w:pPr>
            <w:r>
              <w:rPr>
                <w:color w:val="auto"/>
                <w:kern w:val="0"/>
                <w:sz w:val="20"/>
                <w:szCs w:val="20"/>
              </w:rPr>
              <w:t>　</w:t>
            </w:r>
          </w:p>
        </w:tc>
        <w:tc>
          <w:tcPr>
            <w:tcW w:w="711" w:type="pct"/>
            <w:vAlign w:val="center"/>
          </w:tcPr>
          <w:p>
            <w:pPr>
              <w:widowControl/>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trPr>
        <w:tc>
          <w:tcPr>
            <w:tcW w:w="842" w:type="pct"/>
            <w:shd w:val="clear" w:color="auto" w:fill="auto"/>
            <w:vAlign w:val="center"/>
          </w:tcPr>
          <w:p>
            <w:pPr>
              <w:widowControl/>
              <w:jc w:val="center"/>
              <w:rPr>
                <w:b/>
                <w:bCs/>
                <w:color w:val="auto"/>
                <w:kern w:val="0"/>
                <w:sz w:val="20"/>
                <w:szCs w:val="20"/>
              </w:rPr>
            </w:pPr>
            <w:r>
              <w:rPr>
                <w:b/>
                <w:bCs/>
                <w:color w:val="auto"/>
                <w:kern w:val="0"/>
                <w:sz w:val="20"/>
                <w:szCs w:val="20"/>
              </w:rPr>
              <w:t>合计</w:t>
            </w:r>
          </w:p>
        </w:tc>
        <w:tc>
          <w:tcPr>
            <w:tcW w:w="846" w:type="pct"/>
            <w:shd w:val="clear" w:color="auto" w:fill="auto"/>
            <w:vAlign w:val="center"/>
          </w:tcPr>
          <w:p>
            <w:pPr>
              <w:widowControl/>
              <w:jc w:val="center"/>
              <w:rPr>
                <w:b/>
                <w:bCs/>
                <w:color w:val="auto"/>
                <w:kern w:val="0"/>
                <w:sz w:val="20"/>
                <w:szCs w:val="20"/>
              </w:rPr>
            </w:pPr>
            <w:r>
              <w:rPr>
                <w:b/>
                <w:bCs/>
                <w:color w:val="auto"/>
                <w:kern w:val="0"/>
                <w:sz w:val="20"/>
                <w:szCs w:val="20"/>
              </w:rPr>
              <w:t>　</w:t>
            </w:r>
          </w:p>
        </w:tc>
        <w:tc>
          <w:tcPr>
            <w:tcW w:w="1056" w:type="pct"/>
            <w:shd w:val="clear" w:color="auto" w:fill="auto"/>
            <w:vAlign w:val="center"/>
          </w:tcPr>
          <w:p>
            <w:pPr>
              <w:widowControl/>
              <w:jc w:val="right"/>
              <w:rPr>
                <w:b/>
                <w:bCs/>
                <w:color w:val="auto"/>
                <w:sz w:val="20"/>
                <w:szCs w:val="20"/>
              </w:rPr>
            </w:pPr>
            <w:r>
              <w:rPr>
                <w:b/>
                <w:bCs/>
                <w:color w:val="auto"/>
                <w:sz w:val="20"/>
                <w:szCs w:val="20"/>
              </w:rPr>
              <w:fldChar w:fldCharType="begin"/>
            </w:r>
            <w:r>
              <w:rPr>
                <w:b/>
                <w:bCs/>
                <w:color w:val="auto"/>
                <w:sz w:val="20"/>
                <w:szCs w:val="20"/>
              </w:rPr>
              <w:instrText xml:space="preserve"> = sum(C2:C3) \* MERGEFORMAT </w:instrText>
            </w:r>
            <w:r>
              <w:rPr>
                <w:b/>
                <w:bCs/>
                <w:color w:val="auto"/>
                <w:sz w:val="20"/>
                <w:szCs w:val="20"/>
              </w:rPr>
              <w:fldChar w:fldCharType="separate"/>
            </w:r>
            <w:r>
              <w:rPr>
                <w:b/>
                <w:bCs/>
                <w:color w:val="auto"/>
                <w:sz w:val="20"/>
                <w:szCs w:val="20"/>
              </w:rPr>
              <w:t>71619.29</w:t>
            </w:r>
            <w:r>
              <w:rPr>
                <w:b/>
                <w:bCs/>
                <w:color w:val="auto"/>
                <w:sz w:val="20"/>
                <w:szCs w:val="20"/>
              </w:rPr>
              <w:fldChar w:fldCharType="end"/>
            </w:r>
          </w:p>
        </w:tc>
        <w:tc>
          <w:tcPr>
            <w:tcW w:w="814" w:type="pct"/>
            <w:shd w:val="clear" w:color="auto" w:fill="auto"/>
            <w:vAlign w:val="center"/>
          </w:tcPr>
          <w:p>
            <w:pPr>
              <w:widowControl/>
              <w:jc w:val="right"/>
              <w:rPr>
                <w:b/>
                <w:bCs/>
                <w:color w:val="auto"/>
                <w:kern w:val="0"/>
                <w:sz w:val="20"/>
                <w:szCs w:val="20"/>
              </w:rPr>
            </w:pPr>
            <w:r>
              <w:rPr>
                <w:b/>
                <w:bCs/>
                <w:color w:val="auto"/>
                <w:kern w:val="0"/>
                <w:sz w:val="20"/>
                <w:szCs w:val="20"/>
              </w:rPr>
              <w:fldChar w:fldCharType="begin"/>
            </w:r>
            <w:r>
              <w:rPr>
                <w:b/>
                <w:bCs/>
                <w:color w:val="auto"/>
                <w:kern w:val="0"/>
                <w:sz w:val="20"/>
                <w:szCs w:val="20"/>
              </w:rPr>
              <w:instrText xml:space="preserve"> = sum(D2:D3) \* MERGEFORMAT </w:instrText>
            </w:r>
            <w:r>
              <w:rPr>
                <w:b/>
                <w:bCs/>
                <w:color w:val="auto"/>
                <w:kern w:val="0"/>
                <w:sz w:val="20"/>
                <w:szCs w:val="20"/>
              </w:rPr>
              <w:fldChar w:fldCharType="separate"/>
            </w:r>
            <w:r>
              <w:rPr>
                <w:b/>
                <w:bCs/>
                <w:color w:val="auto"/>
                <w:kern w:val="0"/>
                <w:sz w:val="20"/>
                <w:szCs w:val="20"/>
              </w:rPr>
              <w:t>952.65</w:t>
            </w:r>
            <w:r>
              <w:rPr>
                <w:b/>
                <w:bCs/>
                <w:color w:val="auto"/>
                <w:kern w:val="0"/>
                <w:sz w:val="20"/>
                <w:szCs w:val="20"/>
              </w:rPr>
              <w:fldChar w:fldCharType="end"/>
            </w:r>
          </w:p>
        </w:tc>
        <w:tc>
          <w:tcPr>
            <w:tcW w:w="731" w:type="pct"/>
            <w:shd w:val="clear" w:color="auto" w:fill="auto"/>
            <w:vAlign w:val="center"/>
          </w:tcPr>
          <w:p>
            <w:pPr>
              <w:widowControl/>
              <w:jc w:val="right"/>
              <w:rPr>
                <w:color w:val="auto"/>
                <w:kern w:val="0"/>
                <w:sz w:val="20"/>
                <w:szCs w:val="20"/>
              </w:rPr>
            </w:pPr>
          </w:p>
        </w:tc>
        <w:tc>
          <w:tcPr>
            <w:tcW w:w="711" w:type="pct"/>
            <w:vAlign w:val="center"/>
          </w:tcPr>
          <w:p>
            <w:pPr>
              <w:widowControl/>
              <w:jc w:val="right"/>
              <w:rPr>
                <w:color w:val="auto"/>
                <w:kern w:val="0"/>
                <w:sz w:val="20"/>
                <w:szCs w:val="20"/>
              </w:rPr>
            </w:pPr>
          </w:p>
        </w:tc>
      </w:tr>
    </w:tbl>
    <w:p>
      <w:pPr>
        <w:bidi w:val="0"/>
        <w:ind w:firstLine="422" w:firstLineChars="200"/>
        <w:rPr>
          <w:rFonts w:hint="eastAsia"/>
          <w:b/>
          <w:bCs/>
          <w:color w:val="auto"/>
          <w:lang w:eastAsia="zh-CN"/>
        </w:rPr>
      </w:pPr>
    </w:p>
    <w:p>
      <w:pPr>
        <w:rPr>
          <w:b/>
          <w:bCs/>
          <w:color w:val="auto"/>
        </w:rPr>
      </w:pPr>
      <w:r>
        <w:rPr>
          <w:b/>
          <w:bCs/>
          <w:color w:val="auto"/>
        </w:rPr>
        <w:br w:type="page"/>
      </w:r>
    </w:p>
    <w:p>
      <w:pPr>
        <w:bidi w:val="0"/>
        <w:jc w:val="center"/>
        <w:rPr>
          <w:b/>
          <w:bCs/>
          <w:color w:val="auto"/>
        </w:rPr>
      </w:pPr>
      <w:r>
        <w:rPr>
          <w:b/>
          <w:bCs/>
          <w:color w:val="auto"/>
        </w:rPr>
        <w:t>重大关联交易</w:t>
      </w:r>
    </w:p>
    <w:p>
      <w:pPr>
        <w:bidi w:val="0"/>
        <w:jc w:val="right"/>
        <w:rPr>
          <w:color w:val="auto"/>
        </w:rPr>
      </w:pPr>
      <w:r>
        <w:rPr>
          <w:color w:val="auto"/>
        </w:rPr>
        <w:t>单位：万元</w:t>
      </w:r>
    </w:p>
    <w:tbl>
      <w:tblPr>
        <w:tblStyle w:val="10"/>
        <w:tblW w:w="4692"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4018"/>
        <w:gridCol w:w="1387"/>
        <w:gridCol w:w="1545"/>
        <w:gridCol w:w="154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0" w:hRule="atLeast"/>
          <w:jc w:val="center"/>
        </w:trPr>
        <w:tc>
          <w:tcPr>
            <w:tcW w:w="2364" w:type="pct"/>
            <w:shd w:val="clear" w:color="auto" w:fill="auto"/>
            <w:vAlign w:val="center"/>
          </w:tcPr>
          <w:p>
            <w:pPr>
              <w:widowControl/>
              <w:spacing w:line="240" w:lineRule="exact"/>
              <w:jc w:val="center"/>
              <w:rPr>
                <w:color w:val="auto"/>
                <w:kern w:val="0"/>
                <w:sz w:val="20"/>
                <w:szCs w:val="20"/>
              </w:rPr>
            </w:pPr>
            <w:r>
              <w:rPr>
                <w:color w:val="auto"/>
                <w:kern w:val="0"/>
                <w:sz w:val="20"/>
                <w:szCs w:val="20"/>
              </w:rPr>
              <w:t>交易对象（借款人）</w:t>
            </w:r>
          </w:p>
        </w:tc>
        <w:tc>
          <w:tcPr>
            <w:tcW w:w="816" w:type="pct"/>
            <w:shd w:val="clear" w:color="auto" w:fill="auto"/>
            <w:vAlign w:val="center"/>
          </w:tcPr>
          <w:p>
            <w:pPr>
              <w:widowControl/>
              <w:spacing w:line="240" w:lineRule="exact"/>
              <w:jc w:val="center"/>
              <w:rPr>
                <w:color w:val="auto"/>
                <w:kern w:val="0"/>
                <w:sz w:val="20"/>
                <w:szCs w:val="20"/>
              </w:rPr>
            </w:pPr>
            <w:r>
              <w:rPr>
                <w:color w:val="auto"/>
                <w:kern w:val="0"/>
                <w:sz w:val="20"/>
                <w:szCs w:val="20"/>
              </w:rPr>
              <w:t>关联关系</w:t>
            </w:r>
          </w:p>
        </w:tc>
        <w:tc>
          <w:tcPr>
            <w:tcW w:w="909" w:type="pct"/>
            <w:shd w:val="clear" w:color="auto" w:fill="auto"/>
            <w:vAlign w:val="center"/>
          </w:tcPr>
          <w:p>
            <w:pPr>
              <w:widowControl/>
              <w:spacing w:line="240" w:lineRule="exact"/>
              <w:jc w:val="center"/>
              <w:rPr>
                <w:color w:val="auto"/>
                <w:kern w:val="0"/>
                <w:sz w:val="20"/>
                <w:szCs w:val="20"/>
              </w:rPr>
            </w:pPr>
            <w:r>
              <w:rPr>
                <w:color w:val="auto"/>
                <w:kern w:val="0"/>
                <w:sz w:val="20"/>
                <w:szCs w:val="20"/>
              </w:rPr>
              <w:t>贷款余额</w:t>
            </w:r>
          </w:p>
        </w:tc>
        <w:tc>
          <w:tcPr>
            <w:tcW w:w="909" w:type="pct"/>
            <w:shd w:val="clear" w:color="auto" w:fill="auto"/>
            <w:vAlign w:val="center"/>
          </w:tcPr>
          <w:p>
            <w:pPr>
              <w:widowControl/>
              <w:spacing w:line="240" w:lineRule="exact"/>
              <w:jc w:val="center"/>
              <w:rPr>
                <w:color w:val="auto"/>
                <w:kern w:val="0"/>
                <w:sz w:val="20"/>
                <w:szCs w:val="20"/>
              </w:rPr>
            </w:pPr>
            <w:r>
              <w:rPr>
                <w:rFonts w:hint="eastAsia"/>
                <w:color w:val="auto"/>
                <w:kern w:val="0"/>
                <w:sz w:val="20"/>
                <w:szCs w:val="20"/>
              </w:rPr>
              <w:t>服务类</w:t>
            </w:r>
            <w:r>
              <w:rPr>
                <w:color w:val="auto"/>
                <w:kern w:val="0"/>
                <w:sz w:val="20"/>
                <w:szCs w:val="20"/>
              </w:rPr>
              <w:t>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eastAsia" w:asciiTheme="minorHAnsi" w:hAnsiTheme="minorHAnsi" w:eastAsiaTheme="minorEastAsia" w:cstheme="minorBidi"/>
                <w:color w:val="auto"/>
                <w:kern w:val="2"/>
                <w:sz w:val="20"/>
                <w:szCs w:val="20"/>
                <w:lang w:val="en-US" w:eastAsia="zh-CN" w:bidi="ar-SA"/>
              </w:rPr>
            </w:pPr>
            <w:r>
              <w:rPr>
                <w:color w:val="auto"/>
                <w:sz w:val="20"/>
                <w:szCs w:val="20"/>
              </w:rPr>
              <w:t>株洲通用航空产业发展有限公司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eastAsia" w:asciiTheme="minorHAnsi" w:hAnsiTheme="minorHAnsi" w:eastAsiaTheme="minorEastAsia" w:cstheme="minorBidi"/>
                <w:color w:val="auto"/>
                <w:kern w:val="2"/>
                <w:sz w:val="20"/>
                <w:szCs w:val="20"/>
                <w:lang w:val="en-US" w:eastAsia="zh-CN" w:bidi="ar-SA"/>
              </w:rPr>
            </w:pPr>
            <w:r>
              <w:rPr>
                <w:color w:val="auto"/>
                <w:sz w:val="20"/>
                <w:szCs w:val="20"/>
              </w:rPr>
              <w:t>8800.00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eastAsia" w:asciiTheme="minorHAnsi" w:hAnsiTheme="minorHAnsi" w:eastAsiaTheme="minorEastAsia" w:cstheme="minorBidi"/>
                <w:color w:val="auto"/>
                <w:kern w:val="2"/>
                <w:sz w:val="20"/>
                <w:szCs w:val="20"/>
                <w:lang w:val="en-US" w:eastAsia="zh-CN" w:bidi="ar-SA"/>
              </w:rPr>
            </w:pPr>
            <w:r>
              <w:rPr>
                <w:color w:val="auto"/>
                <w:sz w:val="20"/>
                <w:szCs w:val="20"/>
              </w:rPr>
              <w:t>株洲市云龙房地产开发有限责任公司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eastAsia"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3750.</w:t>
            </w:r>
            <w:r>
              <w:rPr>
                <w:color w:val="auto"/>
                <w:sz w:val="20"/>
                <w:szCs w:val="20"/>
              </w:rPr>
              <w:t>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株洲国投产业园发展有限公司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eastAsia"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3000.00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eastAsia"/>
                <w:color w:val="auto"/>
                <w:sz w:val="20"/>
                <w:szCs w:val="20"/>
                <w:lang w:val="en-US" w:eastAsia="zh-CN"/>
              </w:rPr>
            </w:pPr>
            <w:r>
              <w:rPr>
                <w:rFonts w:hint="eastAsia"/>
                <w:color w:val="auto"/>
                <w:sz w:val="20"/>
                <w:szCs w:val="20"/>
                <w:lang w:val="en-US" w:eastAsia="zh-CN"/>
              </w:rPr>
              <w:t>株洲市盘龙湖建设投资开发有限公司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color w:val="auto"/>
                <w:sz w:val="20"/>
                <w:szCs w:val="20"/>
                <w:lang w:val="en-US" w:eastAsia="zh-CN"/>
              </w:rPr>
            </w:pPr>
            <w:r>
              <w:rPr>
                <w:rFonts w:hint="eastAsia"/>
                <w:color w:val="auto"/>
                <w:sz w:val="20"/>
                <w:szCs w:val="20"/>
                <w:lang w:val="en-US" w:eastAsia="zh-CN"/>
              </w:rPr>
              <w:t>2835.05</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eastAsia" w:asciiTheme="minorHAnsi" w:hAnsiTheme="minorHAnsi" w:eastAsiaTheme="minorEastAsia" w:cstheme="minorBidi"/>
                <w:color w:val="auto"/>
                <w:kern w:val="2"/>
                <w:sz w:val="20"/>
                <w:szCs w:val="20"/>
                <w:lang w:val="en-US" w:eastAsia="zh-CN" w:bidi="ar-SA"/>
              </w:rPr>
            </w:pPr>
            <w:r>
              <w:rPr>
                <w:color w:val="auto"/>
                <w:sz w:val="20"/>
                <w:szCs w:val="20"/>
              </w:rPr>
              <w:t>株洲市国投恒通资产经营管理有限公司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eastAsia"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2500</w:t>
            </w:r>
            <w:r>
              <w:rPr>
                <w:color w:val="auto"/>
                <w:sz w:val="20"/>
                <w:szCs w:val="20"/>
              </w:rPr>
              <w:t>.00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default" w:eastAsiaTheme="minorEastAsia"/>
                <w:color w:val="auto"/>
                <w:sz w:val="20"/>
                <w:szCs w:val="20"/>
                <w:lang w:val="en-US" w:eastAsia="zh-CN"/>
              </w:rPr>
            </w:pPr>
            <w:r>
              <w:rPr>
                <w:rFonts w:hint="eastAsia"/>
                <w:color w:val="auto"/>
                <w:sz w:val="20"/>
                <w:szCs w:val="20"/>
                <w:lang w:val="en-US" w:eastAsia="zh-CN"/>
              </w:rPr>
              <w:t>湖南九郞山职教科创城发展集团有限公司</w:t>
            </w:r>
          </w:p>
        </w:tc>
        <w:tc>
          <w:tcPr>
            <w:tcW w:w="816" w:type="pct"/>
            <w:shd w:val="clear" w:color="auto" w:fill="auto"/>
            <w:noWrap/>
            <w:vAlign w:val="center"/>
          </w:tcPr>
          <w:p>
            <w:pPr>
              <w:jc w:val="center"/>
              <w:rPr>
                <w:color w:val="auto"/>
                <w:sz w:val="20"/>
                <w:szCs w:val="20"/>
              </w:rPr>
            </w:pPr>
            <w:r>
              <w:rPr>
                <w:color w:val="auto"/>
                <w:kern w:val="0"/>
                <w:sz w:val="20"/>
                <w:szCs w:val="20"/>
              </w:rPr>
              <w:t>关联法人</w:t>
            </w:r>
          </w:p>
        </w:tc>
        <w:tc>
          <w:tcPr>
            <w:tcW w:w="909" w:type="pct"/>
            <w:shd w:val="clear" w:color="auto" w:fill="auto"/>
            <w:vAlign w:val="center"/>
          </w:tcPr>
          <w:p>
            <w:pPr>
              <w:jc w:val="right"/>
              <w:rPr>
                <w:rFonts w:hint="default"/>
                <w:color w:val="auto"/>
                <w:sz w:val="20"/>
                <w:szCs w:val="20"/>
                <w:lang w:val="en-US" w:eastAsia="zh-CN"/>
              </w:rPr>
            </w:pPr>
            <w:r>
              <w:rPr>
                <w:rFonts w:hint="eastAsia"/>
                <w:color w:val="auto"/>
                <w:sz w:val="20"/>
                <w:szCs w:val="20"/>
                <w:lang w:val="en-US" w:eastAsia="zh-CN"/>
              </w:rPr>
              <w:t>1000.00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eastAsia"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株洲云龙文化旅游产业开发有限公司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eastAsia"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1000.00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rFonts w:hint="eastAsia" w:asciiTheme="minorHAnsi" w:hAnsiTheme="minorHAnsi" w:eastAsiaTheme="minorEastAsia" w:cstheme="minorBidi"/>
                <w:color w:val="auto"/>
                <w:kern w:val="2"/>
                <w:sz w:val="20"/>
                <w:szCs w:val="20"/>
                <w:lang w:val="en-US" w:eastAsia="zh-CN" w:bidi="ar-SA"/>
              </w:rPr>
              <w:t>株洲市云发污水处理有限公司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color w:val="auto"/>
                <w:sz w:val="20"/>
                <w:szCs w:val="20"/>
                <w:lang w:val="en-US" w:eastAsia="zh-CN"/>
              </w:rPr>
            </w:pPr>
            <w:r>
              <w:rPr>
                <w:rFonts w:hint="eastAsia" w:cstheme="minorBidi"/>
                <w:color w:val="auto"/>
                <w:kern w:val="2"/>
                <w:sz w:val="20"/>
                <w:szCs w:val="20"/>
                <w:lang w:val="en-US" w:eastAsia="zh-CN" w:bidi="ar-SA"/>
              </w:rPr>
              <w:t>1000.00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hint="default" w:eastAsiaTheme="minorEastAsia"/>
                <w:color w:val="auto"/>
                <w:sz w:val="20"/>
                <w:szCs w:val="20"/>
                <w:lang w:val="en-US" w:eastAsia="zh-CN"/>
              </w:rPr>
            </w:pPr>
            <w:r>
              <w:rPr>
                <w:rFonts w:hint="default" w:eastAsiaTheme="minorEastAsia"/>
                <w:color w:val="auto"/>
                <w:sz w:val="20"/>
                <w:szCs w:val="20"/>
                <w:lang w:val="en-US" w:eastAsia="zh-CN"/>
              </w:rPr>
              <w:t>株洲市云龙发展集团城市建设有限公司</w:t>
            </w:r>
          </w:p>
        </w:tc>
        <w:tc>
          <w:tcPr>
            <w:tcW w:w="816" w:type="pct"/>
            <w:shd w:val="clear" w:color="auto" w:fill="auto"/>
            <w:noWrap/>
            <w:vAlign w:val="center"/>
          </w:tcPr>
          <w:p>
            <w:pPr>
              <w:jc w:val="center"/>
              <w:rPr>
                <w:color w:val="auto"/>
                <w:kern w:val="0"/>
                <w:sz w:val="20"/>
                <w:szCs w:val="20"/>
              </w:rPr>
            </w:pPr>
            <w:r>
              <w:rPr>
                <w:color w:val="auto"/>
                <w:kern w:val="0"/>
                <w:sz w:val="20"/>
                <w:szCs w:val="20"/>
              </w:rPr>
              <w:t>关联法人</w:t>
            </w:r>
          </w:p>
        </w:tc>
        <w:tc>
          <w:tcPr>
            <w:tcW w:w="909" w:type="pct"/>
            <w:shd w:val="clear" w:color="auto" w:fill="auto"/>
            <w:vAlign w:val="center"/>
          </w:tcPr>
          <w:p>
            <w:pPr>
              <w:jc w:val="right"/>
              <w:rPr>
                <w:rFonts w:hint="default" w:eastAsiaTheme="minorEastAsia"/>
                <w:color w:val="auto"/>
                <w:sz w:val="20"/>
                <w:szCs w:val="20"/>
                <w:lang w:val="en-US" w:eastAsia="zh-CN"/>
              </w:rPr>
            </w:pPr>
            <w:r>
              <w:rPr>
                <w:rFonts w:hint="eastAsia"/>
                <w:color w:val="auto"/>
                <w:sz w:val="20"/>
                <w:szCs w:val="20"/>
                <w:lang w:val="en-US" w:eastAsia="zh-CN"/>
              </w:rPr>
              <w:t>1000.00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0" w:hRule="atLeast"/>
          <w:jc w:val="center"/>
        </w:trPr>
        <w:tc>
          <w:tcPr>
            <w:tcW w:w="2364" w:type="pct"/>
            <w:shd w:val="clear" w:color="000000" w:fill="FFFFFF"/>
            <w:noWrap/>
            <w:vAlign w:val="center"/>
          </w:tcPr>
          <w:p>
            <w:pPr>
              <w:jc w:val="left"/>
              <w:rPr>
                <w:rFonts w:hint="default" w:eastAsiaTheme="minorEastAsia"/>
                <w:color w:val="auto"/>
                <w:sz w:val="20"/>
                <w:szCs w:val="20"/>
                <w:lang w:val="en-US" w:eastAsia="zh-CN"/>
              </w:rPr>
            </w:pPr>
            <w:r>
              <w:rPr>
                <w:rFonts w:hint="default" w:eastAsiaTheme="minorEastAsia"/>
                <w:color w:val="auto"/>
                <w:sz w:val="20"/>
                <w:szCs w:val="20"/>
                <w:lang w:val="en-US" w:eastAsia="zh-CN"/>
              </w:rPr>
              <w:t>株洲市云发融城开发投资有限公司</w:t>
            </w:r>
          </w:p>
        </w:tc>
        <w:tc>
          <w:tcPr>
            <w:tcW w:w="816" w:type="pct"/>
            <w:shd w:val="clear" w:color="auto" w:fill="auto"/>
            <w:noWrap/>
            <w:vAlign w:val="center"/>
          </w:tcPr>
          <w:p>
            <w:pPr>
              <w:jc w:val="center"/>
              <w:rPr>
                <w:color w:val="auto"/>
                <w:kern w:val="0"/>
                <w:sz w:val="20"/>
                <w:szCs w:val="20"/>
              </w:rPr>
            </w:pPr>
            <w:r>
              <w:rPr>
                <w:color w:val="auto"/>
                <w:kern w:val="0"/>
                <w:sz w:val="20"/>
                <w:szCs w:val="20"/>
              </w:rPr>
              <w:t>关联法人</w:t>
            </w:r>
          </w:p>
        </w:tc>
        <w:tc>
          <w:tcPr>
            <w:tcW w:w="909" w:type="pct"/>
            <w:shd w:val="clear" w:color="auto" w:fill="auto"/>
            <w:vAlign w:val="center"/>
          </w:tcPr>
          <w:p>
            <w:pPr>
              <w:jc w:val="right"/>
              <w:rPr>
                <w:rFonts w:hint="default"/>
                <w:color w:val="auto"/>
                <w:sz w:val="20"/>
                <w:szCs w:val="20"/>
                <w:lang w:val="en-US" w:eastAsia="zh-CN"/>
              </w:rPr>
            </w:pPr>
            <w:r>
              <w:rPr>
                <w:rFonts w:hint="eastAsia"/>
                <w:color w:val="auto"/>
                <w:sz w:val="20"/>
                <w:szCs w:val="20"/>
                <w:lang w:val="en-US" w:eastAsia="zh-CN"/>
              </w:rPr>
              <w:t>1000.00</w:t>
            </w:r>
          </w:p>
        </w:tc>
        <w:tc>
          <w:tcPr>
            <w:tcW w:w="909" w:type="pct"/>
            <w:shd w:val="clear" w:color="auto" w:fill="auto"/>
            <w:vAlign w:val="center"/>
          </w:tcPr>
          <w:p>
            <w:pPr>
              <w:jc w:val="right"/>
              <w:rPr>
                <w:rFonts w:hint="eastAsia"/>
                <w:color w:val="auto"/>
                <w:sz w:val="20"/>
                <w:szCs w:val="20"/>
                <w:lang w:val="en-US" w:eastAsia="zh-CN"/>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湖南睿银贸易有限公司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6491.48</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上海盛龙置业有限公司</w:t>
            </w:r>
          </w:p>
        </w:tc>
        <w:tc>
          <w:tcPr>
            <w:tcW w:w="816" w:type="pct"/>
            <w:shd w:val="clear" w:color="auto" w:fill="auto"/>
            <w:noWrap/>
            <w:vAlign w:val="center"/>
          </w:tcPr>
          <w:p>
            <w:pPr>
              <w:jc w:val="center"/>
              <w:rPr>
                <w:rFonts w:asciiTheme="minorHAnsi" w:hAnsiTheme="minorHAnsi" w:eastAsiaTheme="minorEastAsia" w:cstheme="minorBidi"/>
                <w:color w:val="auto"/>
                <w:kern w:val="2"/>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13000.00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株洲高科发展有限公司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11000.00</w:t>
            </w:r>
          </w:p>
        </w:tc>
        <w:tc>
          <w:tcPr>
            <w:tcW w:w="909" w:type="pct"/>
            <w:shd w:val="clear" w:color="auto" w:fill="auto"/>
            <w:vAlign w:val="center"/>
          </w:tcPr>
          <w:p>
            <w:pPr>
              <w:widowControl/>
              <w:spacing w:line="240" w:lineRule="exact"/>
              <w:jc w:val="right"/>
              <w:rPr>
                <w:rFonts w:hint="default"/>
                <w:color w:val="auto"/>
                <w:kern w:val="0"/>
                <w:sz w:val="20"/>
                <w:szCs w:val="20"/>
                <w:lang w:val="en-US"/>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湖南天易集团有限公司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6000.00</w:t>
            </w:r>
          </w:p>
        </w:tc>
        <w:tc>
          <w:tcPr>
            <w:tcW w:w="909" w:type="pct"/>
            <w:shd w:val="clear" w:color="auto" w:fill="auto"/>
            <w:vAlign w:val="center"/>
          </w:tcPr>
          <w:p>
            <w:pPr>
              <w:widowControl/>
              <w:spacing w:line="240" w:lineRule="exact"/>
              <w:jc w:val="right"/>
              <w:rPr>
                <w:rFonts w:hint="default"/>
                <w:color w:val="auto"/>
                <w:kern w:val="0"/>
                <w:sz w:val="20"/>
                <w:szCs w:val="20"/>
                <w:lang w:val="en-US"/>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color w:val="auto"/>
                <w:sz w:val="20"/>
                <w:szCs w:val="20"/>
              </w:rPr>
            </w:pPr>
            <w:r>
              <w:rPr>
                <w:color w:val="auto"/>
                <w:sz w:val="20"/>
                <w:szCs w:val="20"/>
              </w:rPr>
              <w:t>株洲村镇建设开发集团有限公司</w:t>
            </w:r>
          </w:p>
        </w:tc>
        <w:tc>
          <w:tcPr>
            <w:tcW w:w="816" w:type="pct"/>
            <w:shd w:val="clear" w:color="auto" w:fill="auto"/>
            <w:noWrap/>
            <w:vAlign w:val="center"/>
          </w:tcPr>
          <w:p>
            <w:pPr>
              <w:jc w:val="center"/>
              <w:rPr>
                <w:color w:val="auto"/>
                <w:kern w:val="0"/>
                <w:sz w:val="20"/>
                <w:szCs w:val="20"/>
              </w:rPr>
            </w:pPr>
            <w:r>
              <w:rPr>
                <w:color w:val="auto"/>
                <w:kern w:val="0"/>
                <w:sz w:val="20"/>
                <w:szCs w:val="20"/>
              </w:rPr>
              <w:t>关联法人</w:t>
            </w:r>
          </w:p>
        </w:tc>
        <w:tc>
          <w:tcPr>
            <w:tcW w:w="909" w:type="pct"/>
            <w:shd w:val="clear" w:color="auto" w:fill="auto"/>
            <w:vAlign w:val="center"/>
          </w:tcPr>
          <w:p>
            <w:pPr>
              <w:jc w:val="right"/>
              <w:rPr>
                <w:rFonts w:hint="default" w:eastAsiaTheme="minorEastAsia"/>
                <w:color w:val="auto"/>
                <w:sz w:val="20"/>
                <w:szCs w:val="20"/>
                <w:lang w:val="en-US" w:eastAsia="zh-CN"/>
              </w:rPr>
            </w:pPr>
            <w:r>
              <w:rPr>
                <w:rFonts w:hint="eastAsia"/>
                <w:color w:val="auto"/>
                <w:sz w:val="20"/>
                <w:szCs w:val="20"/>
                <w:lang w:val="en-US" w:eastAsia="zh-CN"/>
              </w:rPr>
              <w:t>3500.00</w:t>
            </w:r>
          </w:p>
        </w:tc>
        <w:tc>
          <w:tcPr>
            <w:tcW w:w="909" w:type="pct"/>
            <w:shd w:val="clear" w:color="auto" w:fill="auto"/>
            <w:vAlign w:val="center"/>
          </w:tcPr>
          <w:p>
            <w:pPr>
              <w:widowControl/>
              <w:spacing w:line="240" w:lineRule="exact"/>
              <w:jc w:val="right"/>
              <w:rPr>
                <w:rFonts w:hint="default"/>
                <w:color w:val="auto"/>
                <w:kern w:val="0"/>
                <w:sz w:val="20"/>
                <w:szCs w:val="20"/>
                <w:lang w:val="en-US"/>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株洲太平洋药业有限公司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895.81</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rFonts w:asciiTheme="minorHAnsi" w:hAnsiTheme="minorHAnsi" w:eastAsiaTheme="minorEastAsia" w:cstheme="minorBidi"/>
                <w:color w:val="auto"/>
                <w:kern w:val="2"/>
                <w:sz w:val="20"/>
                <w:szCs w:val="20"/>
                <w:lang w:val="en-US" w:eastAsia="zh-CN" w:bidi="ar-SA"/>
              </w:rPr>
            </w:pPr>
            <w:r>
              <w:rPr>
                <w:color w:val="auto"/>
                <w:sz w:val="20"/>
                <w:szCs w:val="20"/>
              </w:rPr>
              <w:t>株洲千辉仓储物流服务有限公司</w:t>
            </w:r>
          </w:p>
        </w:tc>
        <w:tc>
          <w:tcPr>
            <w:tcW w:w="816" w:type="pct"/>
            <w:shd w:val="clear" w:color="auto" w:fill="auto"/>
            <w:noWrap/>
            <w:vAlign w:val="center"/>
          </w:tcPr>
          <w:p>
            <w:pPr>
              <w:jc w:val="center"/>
              <w:rPr>
                <w:rFonts w:asciiTheme="minorHAnsi" w:hAnsiTheme="minorHAnsi" w:eastAsiaTheme="minorEastAsia" w:cstheme="minorBidi"/>
                <w:color w:val="auto"/>
                <w:kern w:val="0"/>
                <w:sz w:val="20"/>
                <w:szCs w:val="20"/>
                <w:lang w:val="en-US" w:eastAsia="zh-CN" w:bidi="ar-SA"/>
              </w:rPr>
            </w:pPr>
            <w:r>
              <w:rPr>
                <w:color w:val="auto"/>
                <w:kern w:val="0"/>
                <w:sz w:val="20"/>
                <w:szCs w:val="20"/>
              </w:rPr>
              <w:t>关联法人</w:t>
            </w:r>
          </w:p>
        </w:tc>
        <w:tc>
          <w:tcPr>
            <w:tcW w:w="909" w:type="pct"/>
            <w:shd w:val="clear" w:color="auto" w:fill="auto"/>
            <w:vAlign w:val="center"/>
          </w:tcPr>
          <w:p>
            <w:pPr>
              <w:jc w:val="right"/>
              <w:rPr>
                <w:rFonts w:hint="default" w:asciiTheme="minorHAnsi" w:hAnsiTheme="minorHAnsi" w:eastAsiaTheme="minorEastAsia" w:cstheme="minorBidi"/>
                <w:color w:val="auto"/>
                <w:kern w:val="2"/>
                <w:sz w:val="20"/>
                <w:szCs w:val="20"/>
                <w:lang w:val="en-US" w:eastAsia="zh-CN" w:bidi="ar-SA"/>
              </w:rPr>
            </w:pPr>
            <w:r>
              <w:rPr>
                <w:rFonts w:hint="eastAsia"/>
                <w:color w:val="auto"/>
                <w:sz w:val="20"/>
                <w:szCs w:val="20"/>
                <w:lang w:val="en-US" w:eastAsia="zh-CN"/>
              </w:rPr>
              <w:t>2000.00</w:t>
            </w:r>
          </w:p>
        </w:tc>
        <w:tc>
          <w:tcPr>
            <w:tcW w:w="909" w:type="pct"/>
            <w:shd w:val="clear" w:color="auto" w:fill="auto"/>
            <w:vAlign w:val="center"/>
          </w:tcPr>
          <w:p>
            <w:pPr>
              <w:widowControl/>
              <w:spacing w:line="240" w:lineRule="exact"/>
              <w:jc w:val="right"/>
              <w:rPr>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center"/>
              <w:rPr>
                <w:rFonts w:hint="eastAsia" w:eastAsiaTheme="minorEastAsia"/>
                <w:b/>
                <w:bCs/>
                <w:color w:val="auto"/>
                <w:sz w:val="20"/>
                <w:szCs w:val="20"/>
                <w:lang w:val="en-US" w:eastAsia="zh-CN"/>
              </w:rPr>
            </w:pPr>
            <w:r>
              <w:rPr>
                <w:rFonts w:hint="eastAsia"/>
                <w:b/>
                <w:bCs/>
                <w:color w:val="auto"/>
                <w:sz w:val="20"/>
                <w:szCs w:val="20"/>
                <w:lang w:val="en-US" w:eastAsia="zh-CN"/>
              </w:rPr>
              <w:t>小计</w:t>
            </w:r>
          </w:p>
        </w:tc>
        <w:tc>
          <w:tcPr>
            <w:tcW w:w="816" w:type="pct"/>
            <w:shd w:val="clear" w:color="auto" w:fill="auto"/>
            <w:noWrap/>
            <w:vAlign w:val="center"/>
          </w:tcPr>
          <w:p>
            <w:pPr>
              <w:jc w:val="center"/>
              <w:rPr>
                <w:b/>
                <w:bCs/>
                <w:color w:val="auto"/>
                <w:kern w:val="0"/>
                <w:sz w:val="20"/>
                <w:szCs w:val="20"/>
              </w:rPr>
            </w:pPr>
          </w:p>
        </w:tc>
        <w:tc>
          <w:tcPr>
            <w:tcW w:w="909" w:type="pct"/>
            <w:shd w:val="clear" w:color="auto" w:fill="auto"/>
            <w:vAlign w:val="center"/>
          </w:tcPr>
          <w:p>
            <w:pPr>
              <w:jc w:val="right"/>
              <w:rPr>
                <w:b/>
                <w:bCs/>
                <w:color w:val="auto"/>
                <w:sz w:val="20"/>
                <w:szCs w:val="20"/>
              </w:rPr>
            </w:pPr>
            <w:r>
              <w:rPr>
                <w:b/>
                <w:bCs/>
                <w:color w:val="auto"/>
                <w:sz w:val="20"/>
                <w:szCs w:val="20"/>
              </w:rPr>
              <w:fldChar w:fldCharType="begin"/>
            </w:r>
            <w:r>
              <w:rPr>
                <w:b/>
                <w:bCs/>
                <w:color w:val="auto"/>
                <w:sz w:val="20"/>
                <w:szCs w:val="20"/>
              </w:rPr>
              <w:instrText xml:space="preserve"> = sum(C2:C18) \* MERGEFORMAT </w:instrText>
            </w:r>
            <w:r>
              <w:rPr>
                <w:b/>
                <w:bCs/>
                <w:color w:val="auto"/>
                <w:sz w:val="20"/>
                <w:szCs w:val="20"/>
              </w:rPr>
              <w:fldChar w:fldCharType="separate"/>
            </w:r>
            <w:r>
              <w:rPr>
                <w:b/>
                <w:bCs/>
                <w:color w:val="auto"/>
                <w:sz w:val="20"/>
                <w:szCs w:val="20"/>
              </w:rPr>
              <w:t>68772.34</w:t>
            </w:r>
            <w:r>
              <w:rPr>
                <w:b/>
                <w:bCs/>
                <w:color w:val="auto"/>
                <w:sz w:val="20"/>
                <w:szCs w:val="20"/>
              </w:rPr>
              <w:fldChar w:fldCharType="end"/>
            </w:r>
          </w:p>
        </w:tc>
        <w:tc>
          <w:tcPr>
            <w:tcW w:w="909" w:type="pct"/>
            <w:shd w:val="clear" w:color="auto" w:fill="auto"/>
            <w:vAlign w:val="center"/>
          </w:tcPr>
          <w:p>
            <w:pPr>
              <w:widowControl/>
              <w:spacing w:line="240" w:lineRule="exact"/>
              <w:jc w:val="center"/>
              <w:rPr>
                <w:b/>
                <w:bCs/>
                <w:color w:val="auto"/>
                <w:kern w:val="0"/>
                <w:sz w:val="20"/>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000000" w:fill="FFFFFF"/>
            <w:noWrap/>
            <w:vAlign w:val="center"/>
          </w:tcPr>
          <w:p>
            <w:pPr>
              <w:jc w:val="left"/>
              <w:rPr>
                <w:color w:val="auto"/>
                <w:sz w:val="20"/>
                <w:szCs w:val="20"/>
              </w:rPr>
            </w:pPr>
            <w:r>
              <w:rPr>
                <w:rFonts w:hint="eastAsia"/>
                <w:color w:val="auto"/>
                <w:sz w:val="20"/>
                <w:szCs w:val="20"/>
              </w:rPr>
              <w:t>株洲市国投保安服务有限公司</w:t>
            </w:r>
          </w:p>
        </w:tc>
        <w:tc>
          <w:tcPr>
            <w:tcW w:w="816" w:type="pct"/>
            <w:shd w:val="clear" w:color="auto" w:fill="auto"/>
            <w:noWrap/>
            <w:vAlign w:val="center"/>
          </w:tcPr>
          <w:p>
            <w:pPr>
              <w:jc w:val="center"/>
              <w:rPr>
                <w:color w:val="auto"/>
                <w:kern w:val="0"/>
                <w:sz w:val="20"/>
                <w:szCs w:val="20"/>
              </w:rPr>
            </w:pPr>
            <w:r>
              <w:rPr>
                <w:color w:val="auto"/>
                <w:kern w:val="0"/>
                <w:sz w:val="20"/>
                <w:szCs w:val="20"/>
              </w:rPr>
              <w:t>关联法人</w:t>
            </w:r>
          </w:p>
        </w:tc>
        <w:tc>
          <w:tcPr>
            <w:tcW w:w="909" w:type="pct"/>
            <w:shd w:val="clear" w:color="auto" w:fill="auto"/>
            <w:vAlign w:val="center"/>
          </w:tcPr>
          <w:p>
            <w:pPr>
              <w:jc w:val="right"/>
              <w:rPr>
                <w:color w:val="auto"/>
                <w:sz w:val="20"/>
                <w:szCs w:val="20"/>
              </w:rPr>
            </w:pPr>
          </w:p>
        </w:tc>
        <w:tc>
          <w:tcPr>
            <w:tcW w:w="909" w:type="pct"/>
            <w:shd w:val="clear" w:color="auto" w:fill="auto"/>
            <w:vAlign w:val="center"/>
          </w:tcPr>
          <w:p>
            <w:pPr>
              <w:widowControl/>
              <w:spacing w:line="240" w:lineRule="exact"/>
              <w:jc w:val="right"/>
              <w:rPr>
                <w:rFonts w:hint="default" w:eastAsiaTheme="minorEastAsia"/>
                <w:color w:val="auto"/>
                <w:kern w:val="0"/>
                <w:sz w:val="20"/>
                <w:szCs w:val="20"/>
                <w:lang w:val="en-US" w:eastAsia="zh-CN"/>
              </w:rPr>
            </w:pPr>
            <w:r>
              <w:rPr>
                <w:rFonts w:hint="eastAsia"/>
                <w:color w:val="auto"/>
                <w:kern w:val="0"/>
                <w:sz w:val="20"/>
                <w:szCs w:val="20"/>
                <w:lang w:val="en-US" w:eastAsia="zh-CN"/>
              </w:rPr>
              <w:t>292.65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0" w:hRule="atLeast"/>
          <w:jc w:val="center"/>
        </w:trPr>
        <w:tc>
          <w:tcPr>
            <w:tcW w:w="2364" w:type="pct"/>
            <w:shd w:val="clear" w:color="000000" w:fill="FFFFFF"/>
            <w:noWrap/>
            <w:vAlign w:val="center"/>
          </w:tcPr>
          <w:p>
            <w:pPr>
              <w:jc w:val="left"/>
              <w:rPr>
                <w:color w:val="auto"/>
                <w:sz w:val="20"/>
                <w:szCs w:val="20"/>
              </w:rPr>
            </w:pPr>
            <w:r>
              <w:rPr>
                <w:rFonts w:hint="eastAsia"/>
                <w:color w:val="auto"/>
                <w:sz w:val="20"/>
                <w:szCs w:val="20"/>
              </w:rPr>
              <w:t>株洲市</w:t>
            </w:r>
            <w:r>
              <w:rPr>
                <w:rFonts w:hint="eastAsia"/>
                <w:color w:val="auto"/>
                <w:sz w:val="20"/>
                <w:szCs w:val="20"/>
                <w:lang w:val="en-US" w:eastAsia="zh-CN"/>
              </w:rPr>
              <w:t>国金资本控股</w:t>
            </w:r>
            <w:r>
              <w:rPr>
                <w:rFonts w:hint="eastAsia"/>
                <w:color w:val="auto"/>
                <w:sz w:val="20"/>
                <w:szCs w:val="20"/>
              </w:rPr>
              <w:t>有限公司</w:t>
            </w:r>
          </w:p>
        </w:tc>
        <w:tc>
          <w:tcPr>
            <w:tcW w:w="816" w:type="pct"/>
            <w:shd w:val="clear" w:color="auto" w:fill="auto"/>
            <w:noWrap/>
            <w:vAlign w:val="center"/>
          </w:tcPr>
          <w:p>
            <w:pPr>
              <w:jc w:val="center"/>
              <w:rPr>
                <w:color w:val="auto"/>
                <w:kern w:val="0"/>
                <w:sz w:val="20"/>
                <w:szCs w:val="20"/>
              </w:rPr>
            </w:pPr>
            <w:r>
              <w:rPr>
                <w:color w:val="auto"/>
                <w:kern w:val="0"/>
                <w:sz w:val="20"/>
                <w:szCs w:val="20"/>
              </w:rPr>
              <w:t>关联法人</w:t>
            </w:r>
          </w:p>
        </w:tc>
        <w:tc>
          <w:tcPr>
            <w:tcW w:w="909" w:type="pct"/>
            <w:shd w:val="clear" w:color="auto" w:fill="auto"/>
            <w:vAlign w:val="center"/>
          </w:tcPr>
          <w:p>
            <w:pPr>
              <w:jc w:val="right"/>
              <w:rPr>
                <w:color w:val="auto"/>
                <w:sz w:val="20"/>
                <w:szCs w:val="20"/>
              </w:rPr>
            </w:pPr>
          </w:p>
        </w:tc>
        <w:tc>
          <w:tcPr>
            <w:tcW w:w="909" w:type="pct"/>
            <w:shd w:val="clear" w:color="auto" w:fill="auto"/>
            <w:vAlign w:val="center"/>
          </w:tcPr>
          <w:p>
            <w:pPr>
              <w:widowControl/>
              <w:spacing w:line="240" w:lineRule="exact"/>
              <w:jc w:val="right"/>
              <w:rPr>
                <w:color w:val="auto"/>
                <w:kern w:val="0"/>
                <w:sz w:val="20"/>
                <w:szCs w:val="20"/>
              </w:rPr>
            </w:pPr>
            <w:r>
              <w:rPr>
                <w:color w:val="auto"/>
                <w:kern w:val="0"/>
                <w:sz w:val="20"/>
                <w:szCs w:val="20"/>
              </w:rPr>
              <w:t>660.00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2364" w:type="pct"/>
            <w:shd w:val="clear" w:color="auto" w:fill="auto"/>
            <w:vAlign w:val="center"/>
          </w:tcPr>
          <w:p>
            <w:pPr>
              <w:widowControl/>
              <w:spacing w:line="240" w:lineRule="exact"/>
              <w:jc w:val="center"/>
              <w:rPr>
                <w:b/>
                <w:bCs/>
                <w:color w:val="auto"/>
                <w:kern w:val="0"/>
                <w:sz w:val="20"/>
                <w:szCs w:val="20"/>
              </w:rPr>
            </w:pPr>
            <w:r>
              <w:rPr>
                <w:rFonts w:hint="eastAsia"/>
                <w:b/>
                <w:bCs/>
                <w:color w:val="auto"/>
                <w:kern w:val="0"/>
                <w:sz w:val="20"/>
                <w:szCs w:val="20"/>
                <w:lang w:val="en-US" w:eastAsia="zh-CN"/>
              </w:rPr>
              <w:t>小</w:t>
            </w:r>
            <w:r>
              <w:rPr>
                <w:b/>
                <w:bCs/>
                <w:color w:val="auto"/>
                <w:kern w:val="0"/>
                <w:sz w:val="20"/>
                <w:szCs w:val="20"/>
              </w:rPr>
              <w:t>计</w:t>
            </w:r>
          </w:p>
        </w:tc>
        <w:tc>
          <w:tcPr>
            <w:tcW w:w="816" w:type="pct"/>
            <w:shd w:val="clear" w:color="auto" w:fill="auto"/>
            <w:vAlign w:val="center"/>
          </w:tcPr>
          <w:p>
            <w:pPr>
              <w:widowControl/>
              <w:spacing w:line="240" w:lineRule="exact"/>
              <w:jc w:val="center"/>
              <w:rPr>
                <w:b/>
                <w:bCs/>
                <w:color w:val="auto"/>
                <w:kern w:val="0"/>
                <w:sz w:val="20"/>
                <w:szCs w:val="20"/>
              </w:rPr>
            </w:pPr>
          </w:p>
        </w:tc>
        <w:tc>
          <w:tcPr>
            <w:tcW w:w="909" w:type="pct"/>
            <w:shd w:val="clear" w:color="auto" w:fill="auto"/>
            <w:vAlign w:val="center"/>
          </w:tcPr>
          <w:p>
            <w:pPr>
              <w:spacing w:line="240" w:lineRule="exact"/>
              <w:jc w:val="right"/>
              <w:rPr>
                <w:b/>
                <w:bCs/>
                <w:color w:val="auto"/>
                <w:sz w:val="20"/>
                <w:szCs w:val="20"/>
              </w:rPr>
            </w:pPr>
          </w:p>
        </w:tc>
        <w:tc>
          <w:tcPr>
            <w:tcW w:w="909" w:type="pct"/>
            <w:shd w:val="clear" w:color="auto" w:fill="auto"/>
            <w:vAlign w:val="center"/>
          </w:tcPr>
          <w:p>
            <w:pPr>
              <w:widowControl/>
              <w:spacing w:line="240" w:lineRule="exact"/>
              <w:jc w:val="right"/>
              <w:rPr>
                <w:b/>
                <w:bCs/>
                <w:color w:val="auto"/>
                <w:kern w:val="0"/>
                <w:sz w:val="20"/>
                <w:szCs w:val="20"/>
              </w:rPr>
            </w:pPr>
            <w:r>
              <w:rPr>
                <w:b/>
                <w:bCs/>
                <w:color w:val="auto"/>
                <w:kern w:val="0"/>
                <w:sz w:val="20"/>
                <w:szCs w:val="20"/>
              </w:rPr>
              <w:fldChar w:fldCharType="begin"/>
            </w:r>
            <w:r>
              <w:rPr>
                <w:b/>
                <w:bCs/>
                <w:color w:val="auto"/>
                <w:kern w:val="0"/>
                <w:sz w:val="20"/>
                <w:szCs w:val="20"/>
              </w:rPr>
              <w:instrText xml:space="preserve"> = sum(D20:D21) \* MERGEFORMAT </w:instrText>
            </w:r>
            <w:r>
              <w:rPr>
                <w:b/>
                <w:bCs/>
                <w:color w:val="auto"/>
                <w:kern w:val="0"/>
                <w:sz w:val="20"/>
                <w:szCs w:val="20"/>
              </w:rPr>
              <w:fldChar w:fldCharType="separate"/>
            </w:r>
            <w:r>
              <w:rPr>
                <w:b/>
                <w:bCs/>
                <w:color w:val="auto"/>
                <w:kern w:val="0"/>
                <w:sz w:val="20"/>
                <w:szCs w:val="20"/>
              </w:rPr>
              <w:t>952.65</w:t>
            </w:r>
            <w:r>
              <w:rPr>
                <w:b/>
                <w:bCs/>
                <w:color w:val="auto"/>
                <w:kern w:val="0"/>
                <w:sz w:val="20"/>
                <w:szCs w:val="20"/>
              </w:rPr>
              <w:fldChar w:fldCharType="end"/>
            </w:r>
          </w:p>
        </w:tc>
      </w:tr>
    </w:tbl>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二、重大诉讼或仲裁</w:t>
      </w:r>
    </w:p>
    <w:p>
      <w:pPr>
        <w:bidi w:val="0"/>
        <w:ind w:firstLine="420" w:firstLineChars="200"/>
        <w:rPr>
          <w:rFonts w:hint="eastAsia"/>
          <w:color w:val="auto"/>
          <w:lang w:val="en-US" w:eastAsia="zh-CN"/>
        </w:rPr>
      </w:pPr>
      <w:r>
        <w:rPr>
          <w:rFonts w:hint="eastAsia"/>
          <w:color w:val="auto"/>
          <w:lang w:val="en-US" w:eastAsia="zh-CN"/>
        </w:rPr>
        <w:t>报告期内，无重大诉讼、仲裁事项。</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三、薪酬管理</w:t>
      </w:r>
    </w:p>
    <w:p>
      <w:pPr>
        <w:widowControl/>
        <w:ind w:firstLine="422" w:firstLineChars="200"/>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lang w:val="en-US" w:eastAsia="zh-CN"/>
        </w:rPr>
        <w:t>（一）</w:t>
      </w:r>
      <w:r>
        <w:rPr>
          <w:rFonts w:hint="eastAsia" w:ascii="宋体" w:hAnsi="宋体" w:eastAsia="宋体" w:cs="宋体"/>
          <w:b/>
          <w:bCs/>
          <w:color w:val="auto"/>
          <w:kern w:val="0"/>
          <w:sz w:val="21"/>
          <w:szCs w:val="21"/>
          <w:lang w:val="en-US" w:eastAsia="zh-CN"/>
        </w:rPr>
        <w:t>报告期内董监事领取薪酬情况</w:t>
      </w:r>
    </w:p>
    <w:p>
      <w:pPr>
        <w:bidi w:val="0"/>
        <w:ind w:firstLine="420" w:firstLineChars="200"/>
        <w:rPr>
          <w:rFonts w:hint="eastAsia"/>
          <w:color w:val="auto"/>
          <w:lang w:val="en-US" w:eastAsia="zh-CN"/>
        </w:rPr>
      </w:pPr>
      <w:r>
        <w:rPr>
          <w:rFonts w:hint="eastAsia"/>
          <w:color w:val="auto"/>
          <w:lang w:val="en-US" w:eastAsia="zh-CN"/>
        </w:rPr>
        <w:t>本行董、监事的薪酬标准及薪酬制度由股东大会决定，独立董事、外部监事津贴8万元/年（税前），其他董事、监事津贴为6万元/年（税前）。报告期内董监事领取薪酬情况：在本行领取工薪的董、监事不再领取津贴，其他农商银行、国有企业委派的董事、监事未领取津贴。本行董事长、副董事长、监事长及其他高级管理人员的薪酬标准及薪酬制度，按照省联社《法人行社领导人员薪酬管理办法（试行）》《关于对&lt;法人行社领导人员薪酬管理办法（试行）&gt;部分内容进行修改的通知》《关于明确法人行社领导人员薪酬清算兑现有关事项的通知》等执行。</w:t>
      </w:r>
    </w:p>
    <w:p>
      <w:pPr>
        <w:bidi w:val="0"/>
        <w:ind w:firstLine="420" w:firstLineChars="200"/>
        <w:rPr>
          <w:rFonts w:hint="eastAsia"/>
          <w:color w:val="auto"/>
          <w:lang w:val="en-US" w:eastAsia="zh-CN"/>
        </w:rPr>
      </w:pPr>
      <w:r>
        <w:rPr>
          <w:rFonts w:hint="eastAsia"/>
          <w:color w:val="auto"/>
          <w:lang w:val="en-US" w:eastAsia="zh-CN"/>
        </w:rPr>
        <w:t>董事会下设提名与薪酬委员会，具体负责制定本行董事及高级管理人员的考核标准并进行考核，负责制定、审查董事及高级管理人员的薪酬政策与方案，对董事会负责。</w:t>
      </w:r>
    </w:p>
    <w:p>
      <w:pPr>
        <w:bidi w:val="0"/>
        <w:ind w:firstLine="420" w:firstLineChars="200"/>
        <w:rPr>
          <w:rFonts w:hint="eastAsia"/>
          <w:color w:val="auto"/>
          <w:lang w:val="en-US" w:eastAsia="zh-CN"/>
        </w:rPr>
      </w:pPr>
      <w:r>
        <w:rPr>
          <w:rFonts w:hint="eastAsia"/>
          <w:color w:val="auto"/>
          <w:lang w:val="en-US" w:eastAsia="zh-CN"/>
        </w:rPr>
        <w:t>报告期内，本行未开展股权激励。</w:t>
      </w:r>
    </w:p>
    <w:p>
      <w:pPr>
        <w:bidi w:val="0"/>
        <w:ind w:firstLine="422" w:firstLineChars="200"/>
        <w:rPr>
          <w:rFonts w:hint="eastAsia"/>
          <w:b/>
          <w:bCs/>
          <w:color w:val="auto"/>
          <w:lang w:val="en-US" w:eastAsia="zh-CN"/>
        </w:rPr>
      </w:pPr>
      <w:r>
        <w:rPr>
          <w:rFonts w:hint="eastAsia"/>
          <w:b/>
          <w:bCs/>
          <w:color w:val="auto"/>
          <w:lang w:val="en-US" w:eastAsia="zh-CN"/>
        </w:rPr>
        <w:t>（二）报告期高级管理层薪酬情况</w:t>
      </w:r>
    </w:p>
    <w:p>
      <w:pPr>
        <w:bidi w:val="0"/>
        <w:ind w:firstLine="420" w:firstLineChars="200"/>
        <w:rPr>
          <w:rFonts w:hint="eastAsia"/>
          <w:color w:val="auto"/>
          <w:lang w:val="en-US" w:eastAsia="zh-CN"/>
        </w:rPr>
      </w:pPr>
      <w:r>
        <w:rPr>
          <w:rFonts w:hint="eastAsia"/>
          <w:color w:val="auto"/>
          <w:lang w:val="en-US" w:eastAsia="zh-CN"/>
        </w:rPr>
        <w:t>本行高级管理层薪酬根据《法人行社领导人员薪酬管理办法（试行）》（湘信联发</w:t>
      </w:r>
      <w:r>
        <w:rPr>
          <w:rFonts w:hint="eastAsia" w:ascii="宋体" w:hAnsi="宋体" w:eastAsia="宋体" w:cs="宋体"/>
          <w:color w:val="auto"/>
          <w:lang w:val="en-US" w:eastAsia="zh-CN"/>
        </w:rPr>
        <w:t>〔</w:t>
      </w:r>
      <w:r>
        <w:rPr>
          <w:rFonts w:hint="eastAsia"/>
          <w:color w:val="auto"/>
          <w:lang w:val="en-US" w:eastAsia="zh-CN"/>
        </w:rPr>
        <w:t>2017</w:t>
      </w:r>
      <w:r>
        <w:rPr>
          <w:rFonts w:hint="eastAsia" w:ascii="宋体" w:hAnsi="宋体" w:eastAsia="宋体" w:cs="宋体"/>
          <w:color w:val="auto"/>
          <w:lang w:val="en-US" w:eastAsia="zh-CN"/>
        </w:rPr>
        <w:t>〕</w:t>
      </w:r>
      <w:r>
        <w:rPr>
          <w:rFonts w:hint="eastAsia"/>
          <w:color w:val="auto"/>
          <w:lang w:val="en-US" w:eastAsia="zh-CN"/>
        </w:rPr>
        <w:t>68号）、《关于对&lt;法人行社领导人员薪酬管理办法（试行）&gt;部分内容进行修改的通知》（湘信联办</w:t>
      </w:r>
      <w:r>
        <w:rPr>
          <w:rFonts w:hint="eastAsia" w:ascii="宋体" w:hAnsi="宋体" w:eastAsia="宋体" w:cs="宋体"/>
          <w:color w:val="auto"/>
          <w:lang w:val="en-US" w:eastAsia="zh-CN"/>
        </w:rPr>
        <w:t>〔</w:t>
      </w:r>
      <w:r>
        <w:rPr>
          <w:rFonts w:hint="eastAsia"/>
          <w:color w:val="auto"/>
          <w:lang w:val="en-US" w:eastAsia="zh-CN"/>
        </w:rPr>
        <w:t>2018</w:t>
      </w:r>
      <w:r>
        <w:rPr>
          <w:rFonts w:hint="eastAsia" w:ascii="宋体" w:hAnsi="宋体" w:eastAsia="宋体" w:cs="宋体"/>
          <w:color w:val="auto"/>
          <w:lang w:val="en-US" w:eastAsia="zh-CN"/>
        </w:rPr>
        <w:t>〕</w:t>
      </w:r>
      <w:r>
        <w:rPr>
          <w:rFonts w:hint="eastAsia"/>
          <w:color w:val="auto"/>
          <w:lang w:val="en-US" w:eastAsia="zh-CN"/>
        </w:rPr>
        <w:t>159号）、《关于明确法人行社领导人员薪酬清算兑现有关事项的通知》（湘信联办</w:t>
      </w:r>
      <w:r>
        <w:rPr>
          <w:rFonts w:hint="eastAsia" w:ascii="宋体" w:hAnsi="宋体" w:eastAsia="宋体" w:cs="宋体"/>
          <w:color w:val="auto"/>
          <w:lang w:val="en-US" w:eastAsia="zh-CN"/>
        </w:rPr>
        <w:t>〔</w:t>
      </w:r>
      <w:r>
        <w:rPr>
          <w:rFonts w:hint="eastAsia"/>
          <w:color w:val="auto"/>
          <w:lang w:val="en-US" w:eastAsia="zh-CN"/>
        </w:rPr>
        <w:t>2018</w:t>
      </w:r>
      <w:r>
        <w:rPr>
          <w:rFonts w:hint="eastAsia" w:ascii="宋体" w:hAnsi="宋体" w:eastAsia="宋体" w:cs="宋体"/>
          <w:color w:val="auto"/>
          <w:lang w:val="en-US" w:eastAsia="zh-CN"/>
        </w:rPr>
        <w:t>〕</w:t>
      </w:r>
      <w:r>
        <w:rPr>
          <w:rFonts w:hint="eastAsia"/>
          <w:color w:val="auto"/>
          <w:lang w:val="en-US" w:eastAsia="zh-CN"/>
        </w:rPr>
        <w:t>126号）等文件精神，由省农信联社核定，本行根据核定通知支付。目前尚未收到关于核定2023年度高级管理人员薪酬的通知，待收到后另行披露。总监、董事会秘书参照高级管理层工资办法，执行系数为0.75。</w:t>
      </w:r>
    </w:p>
    <w:p>
      <w:pPr>
        <w:bidi w:val="0"/>
        <w:ind w:firstLine="420" w:firstLineChars="200"/>
        <w:rPr>
          <w:rFonts w:hint="eastAsia"/>
          <w:color w:val="auto"/>
          <w:lang w:val="en-US" w:eastAsia="zh-CN"/>
        </w:rPr>
      </w:pPr>
    </w:p>
    <w:p>
      <w:pPr>
        <w:bidi w:val="0"/>
        <w:ind w:firstLine="422" w:firstLineChars="200"/>
        <w:rPr>
          <w:rFonts w:hint="eastAsia"/>
          <w:b/>
          <w:bCs/>
          <w:color w:val="auto"/>
        </w:rPr>
      </w:pPr>
      <w:r>
        <w:rPr>
          <w:rFonts w:hint="eastAsia"/>
          <w:b/>
          <w:bCs/>
          <w:color w:val="auto"/>
          <w:lang w:eastAsia="zh-CN"/>
        </w:rPr>
        <w:t>（</w:t>
      </w:r>
      <w:r>
        <w:rPr>
          <w:rFonts w:hint="eastAsia"/>
          <w:b/>
          <w:bCs/>
          <w:color w:val="auto"/>
          <w:lang w:val="en-US" w:eastAsia="zh-CN"/>
        </w:rPr>
        <w:t>三）</w:t>
      </w:r>
      <w:r>
        <w:rPr>
          <w:rFonts w:hint="eastAsia"/>
          <w:b/>
          <w:bCs/>
          <w:color w:val="auto"/>
        </w:rPr>
        <w:t>薪酬总量及薪酬结构分布</w:t>
      </w:r>
    </w:p>
    <w:p>
      <w:pPr>
        <w:bidi w:val="0"/>
        <w:jc w:val="center"/>
        <w:rPr>
          <w:rFonts w:hint="eastAsia"/>
          <w:color w:val="auto"/>
          <w:lang w:val="en-US" w:eastAsia="zh-CN"/>
        </w:rPr>
      </w:pPr>
    </w:p>
    <w:p>
      <w:pPr>
        <w:bidi w:val="0"/>
        <w:jc w:val="center"/>
        <w:rPr>
          <w:rFonts w:hint="eastAsia"/>
          <w:b/>
          <w:bCs/>
          <w:color w:val="auto"/>
          <w:lang w:val="en-US" w:eastAsia="zh-CN"/>
        </w:rPr>
      </w:pPr>
      <w:r>
        <w:rPr>
          <w:rFonts w:hint="eastAsia"/>
          <w:b/>
          <w:bCs/>
          <w:color w:val="auto"/>
          <w:lang w:val="en-US" w:eastAsia="zh-CN"/>
        </w:rPr>
        <w:t>本行年度薪酬总量及结构分布</w:t>
      </w:r>
    </w:p>
    <w:p>
      <w:pPr>
        <w:bidi w:val="0"/>
        <w:jc w:val="right"/>
        <w:rPr>
          <w:rFonts w:hint="eastAsia"/>
          <w:color w:val="auto"/>
          <w:lang w:val="en-US" w:eastAsia="zh-CN"/>
        </w:rPr>
      </w:pPr>
      <w:r>
        <w:rPr>
          <w:rFonts w:hint="eastAsia"/>
          <w:color w:val="auto"/>
          <w:lang w:val="en-US" w:eastAsia="zh-CN"/>
        </w:rPr>
        <w:t>单位：人民币，万元</w:t>
      </w:r>
    </w:p>
    <w:tbl>
      <w:tblPr>
        <w:tblStyle w:val="10"/>
        <w:tblW w:w="8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8"/>
        <w:gridCol w:w="4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8" w:space="0"/>
              <w:left w:val="nil"/>
              <w:bottom w:val="single" w:color="000000" w:sz="8" w:space="0"/>
              <w:right w:val="single" w:color="000000" w:sz="8" w:space="0"/>
            </w:tcBorders>
            <w:vAlign w:val="center"/>
          </w:tcPr>
          <w:p>
            <w:pPr>
              <w:widowControl/>
              <w:wordWrap/>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rPr>
              <w:t>项目</w:t>
            </w:r>
          </w:p>
        </w:tc>
        <w:tc>
          <w:tcPr>
            <w:tcW w:w="4021" w:type="dxa"/>
            <w:tcBorders>
              <w:top w:val="single" w:color="000000" w:sz="8" w:space="0"/>
              <w:left w:val="single" w:color="000000" w:sz="8" w:space="0"/>
              <w:bottom w:val="single" w:color="000000" w:sz="8" w:space="0"/>
              <w:right w:val="nil"/>
            </w:tcBorders>
            <w:vAlign w:val="center"/>
          </w:tcPr>
          <w:p>
            <w:pPr>
              <w:widowControl/>
              <w:wordWrap/>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rPr>
              <w:t>报告期支付额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nil"/>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职工工资</w:t>
            </w:r>
          </w:p>
        </w:tc>
        <w:tc>
          <w:tcPr>
            <w:tcW w:w="4021" w:type="dxa"/>
            <w:tcBorders>
              <w:top w:val="single" w:color="000000" w:sz="8"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职工福利费</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基本养老保险金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补充养老保险金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基本医疗保险金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补充医疗保险金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工伤保险金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失业保险金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住房公积金</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职工教育经费</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工会经费</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4"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snapToGrid w:val="0"/>
                <w:color w:val="auto"/>
                <w:kern w:val="0"/>
                <w:sz w:val="20"/>
                <w:szCs w:val="20"/>
                <w:u w:val="none"/>
                <w:lang w:val="en-US" w:eastAsia="zh-CN"/>
              </w:rPr>
              <w:t>其他</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8" w:type="dxa"/>
            <w:tcBorders>
              <w:top w:val="single" w:color="000000" w:sz="4" w:space="0"/>
              <w:left w:val="nil"/>
              <w:bottom w:val="single" w:color="000000" w:sz="8" w:space="0"/>
              <w:right w:val="single" w:color="000000" w:sz="4" w:space="0"/>
            </w:tcBorders>
            <w:shd w:val="clear" w:color="auto" w:fill="auto"/>
            <w:vAlign w:val="center"/>
          </w:tcPr>
          <w:p>
            <w:pPr>
              <w:widowControl/>
              <w:wordWrap/>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合计</w:t>
            </w:r>
          </w:p>
        </w:tc>
        <w:tc>
          <w:tcPr>
            <w:tcW w:w="4021" w:type="dxa"/>
            <w:tcBorders>
              <w:top w:val="single" w:color="000000" w:sz="4" w:space="0"/>
              <w:left w:val="single" w:color="000000" w:sz="4" w:space="0"/>
              <w:bottom w:val="single" w:color="000000" w:sz="4" w:space="0"/>
              <w:right w:val="nil"/>
            </w:tcBorders>
            <w:shd w:val="clear" w:color="auto" w:fill="FFFFFF"/>
            <w:vAlign w:val="center"/>
          </w:tcPr>
          <w:p>
            <w:pPr>
              <w:widowControl/>
              <w:wordWrap/>
              <w:jc w:val="center"/>
              <w:textAlignment w:val="bottom"/>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fldChar w:fldCharType="begin"/>
            </w:r>
            <w:r>
              <w:rPr>
                <w:rFonts w:hint="eastAsia" w:ascii="宋体" w:hAnsi="宋体" w:eastAsia="宋体" w:cs="宋体"/>
                <w:i w:val="0"/>
                <w:iCs w:val="0"/>
                <w:color w:val="auto"/>
                <w:sz w:val="20"/>
                <w:szCs w:val="20"/>
                <w:u w:val="none"/>
                <w:lang w:val="en-US" w:eastAsia="zh-CN"/>
              </w:rPr>
              <w:instrText xml:space="preserve"> = sum(B2:B13) \* MERGEFORMAT </w:instrText>
            </w:r>
            <w:r>
              <w:rPr>
                <w:rFonts w:hint="eastAsia" w:ascii="宋体" w:hAnsi="宋体" w:eastAsia="宋体" w:cs="宋体"/>
                <w:i w:val="0"/>
                <w:iCs w:val="0"/>
                <w:color w:val="auto"/>
                <w:sz w:val="20"/>
                <w:szCs w:val="20"/>
                <w:u w:val="none"/>
                <w:lang w:val="en-US" w:eastAsia="zh-CN"/>
              </w:rPr>
              <w:fldChar w:fldCharType="separate"/>
            </w:r>
            <w:r>
              <w:rPr>
                <w:rFonts w:hint="eastAsia" w:ascii="宋体" w:hAnsi="宋体" w:eastAsia="宋体" w:cs="宋体"/>
                <w:i w:val="0"/>
                <w:iCs w:val="0"/>
                <w:color w:val="auto"/>
                <w:sz w:val="20"/>
                <w:szCs w:val="20"/>
                <w:u w:val="none"/>
                <w:lang w:val="en-US" w:eastAsia="zh-CN"/>
              </w:rPr>
              <w:t>13438</w:t>
            </w:r>
            <w:r>
              <w:rPr>
                <w:rFonts w:hint="eastAsia" w:ascii="宋体" w:hAnsi="宋体" w:eastAsia="宋体" w:cs="宋体"/>
                <w:i w:val="0"/>
                <w:iCs w:val="0"/>
                <w:color w:val="auto"/>
                <w:sz w:val="20"/>
                <w:szCs w:val="20"/>
                <w:u w:val="none"/>
                <w:lang w:val="en-US" w:eastAsia="zh-CN"/>
              </w:rPr>
              <w:fldChar w:fldCharType="end"/>
            </w:r>
          </w:p>
        </w:tc>
      </w:tr>
    </w:tbl>
    <w:p>
      <w:pPr>
        <w:pStyle w:val="2"/>
        <w:rPr>
          <w:rFonts w:hint="eastAsia"/>
          <w:color w:val="auto"/>
          <w:lang w:val="en-US" w:eastAsia="zh-CN"/>
        </w:rPr>
      </w:pPr>
    </w:p>
    <w:p>
      <w:pPr>
        <w:bidi w:val="0"/>
        <w:ind w:firstLine="422" w:firstLineChars="200"/>
        <w:rPr>
          <w:rFonts w:hint="eastAsia"/>
          <w:b/>
          <w:bCs/>
          <w:color w:val="auto"/>
          <w:lang w:val="en-US" w:eastAsia="zh-CN"/>
        </w:rPr>
      </w:pPr>
      <w:r>
        <w:rPr>
          <w:rFonts w:hint="eastAsia"/>
          <w:b/>
          <w:bCs/>
          <w:color w:val="auto"/>
          <w:lang w:val="en-US" w:eastAsia="zh-CN"/>
        </w:rPr>
        <w:t>（四）工资薪酬与业绩衡量、风险调整的标准</w:t>
      </w:r>
    </w:p>
    <w:p>
      <w:pPr>
        <w:bidi w:val="0"/>
        <w:ind w:firstLine="420" w:firstLineChars="200"/>
        <w:rPr>
          <w:rFonts w:hint="eastAsia"/>
          <w:color w:val="auto"/>
          <w:lang w:val="en-US" w:eastAsia="zh-CN"/>
        </w:rPr>
      </w:pPr>
      <w:r>
        <w:rPr>
          <w:rFonts w:hint="eastAsia"/>
          <w:color w:val="auto"/>
          <w:lang w:val="en-US" w:eastAsia="zh-CN"/>
        </w:rPr>
        <w:t>本行除高级管理层外的职工工资薪酬主要由基本工资、绩效工资、其他工资及奖励三大部分组成。根据省联社《工资总额调控管理办法》的相关要求，基本工资一般不高于工资总额的35%。其中基本工资包括学历工资、保障工资、等级工资、特殊津贴工资；绩效工资根据《株洲农村商业银行股份有限公司2023年员工绩效工资考核办法》考核计算，按月或季兑付。根据《银行业金融机构绩效考评监管指引》相关要求，本行绩效考核指标主要包括合规经营类指标、风险管理类指标、经营效益类指标、发展转型类指标、社会责任类指标等。绩效考核指标中加大了合规与风险管理类指标考核的权重，达44%以上。如超额完成省联社下达的指标任务，年末可对各条线各岗位另行给予适当奖励。</w:t>
      </w:r>
    </w:p>
    <w:p>
      <w:pPr>
        <w:bidi w:val="0"/>
        <w:ind w:firstLine="422" w:firstLineChars="200"/>
        <w:rPr>
          <w:rFonts w:hint="eastAsia"/>
          <w:b/>
          <w:bCs/>
          <w:color w:val="auto"/>
          <w:lang w:val="en-US" w:eastAsia="zh-CN"/>
        </w:rPr>
      </w:pPr>
      <w:r>
        <w:rPr>
          <w:rFonts w:hint="eastAsia"/>
          <w:b/>
          <w:bCs/>
          <w:color w:val="auto"/>
          <w:lang w:val="en-US" w:eastAsia="zh-CN"/>
        </w:rPr>
        <w:t>（五）薪酬延期支付和非现金薪酬情况</w:t>
      </w:r>
    </w:p>
    <w:p>
      <w:pPr>
        <w:bidi w:val="0"/>
        <w:ind w:firstLine="420" w:firstLineChars="200"/>
        <w:rPr>
          <w:rFonts w:hint="eastAsia"/>
          <w:color w:val="auto"/>
          <w:lang w:val="en-US" w:eastAsia="zh-CN"/>
        </w:rPr>
      </w:pPr>
      <w:r>
        <w:rPr>
          <w:rFonts w:hint="eastAsia"/>
          <w:color w:val="auto"/>
          <w:lang w:val="en-US" w:eastAsia="zh-CN"/>
        </w:rPr>
        <w:t>根据银保监办发</w:t>
      </w:r>
      <w:r>
        <w:rPr>
          <w:rFonts w:hint="eastAsia" w:ascii="宋体" w:hAnsi="宋体" w:eastAsia="宋体" w:cs="宋体"/>
          <w:color w:val="auto"/>
          <w:lang w:val="en-US" w:eastAsia="zh-CN"/>
        </w:rPr>
        <w:t>〔</w:t>
      </w:r>
      <w:r>
        <w:rPr>
          <w:rFonts w:hint="eastAsia"/>
          <w:color w:val="auto"/>
          <w:lang w:val="en-US" w:eastAsia="zh-CN"/>
        </w:rPr>
        <w:t>2021</w:t>
      </w:r>
      <w:r>
        <w:rPr>
          <w:rFonts w:hint="eastAsia" w:ascii="宋体" w:hAnsi="宋体" w:eastAsia="宋体" w:cs="宋体"/>
          <w:color w:val="auto"/>
          <w:lang w:val="en-US" w:eastAsia="zh-CN"/>
        </w:rPr>
        <w:t>〕</w:t>
      </w:r>
      <w:r>
        <w:rPr>
          <w:rFonts w:hint="eastAsia"/>
          <w:color w:val="auto"/>
          <w:lang w:val="en-US" w:eastAsia="zh-CN"/>
        </w:rPr>
        <w:t>17号要求，本行高级管理人员和关键岗位人员实施绩效薪酬追索扣回，包括追回已支付绩效薪酬和止付未支付的绩效薪酬。2023年度，本行高级管理人员延付比例为绩效薪酬的40%（其中：三长延期50%，副行长延期40%）；支行行长(含营业部总经理)、公司业务部总经理绩效工资延期支付比例为40%,客户经理（含公司业务部员工）贷款业绩绩效工资延期支付比例为40%。延期支付的绩效薪酬，分三年等额延期支付。</w:t>
      </w:r>
    </w:p>
    <w:p>
      <w:pPr>
        <w:bidi w:val="0"/>
        <w:ind w:firstLine="422" w:firstLineChars="200"/>
        <w:rPr>
          <w:rFonts w:hint="eastAsia"/>
          <w:b/>
          <w:bCs/>
          <w:color w:val="auto"/>
          <w:lang w:val="en-US" w:eastAsia="zh-CN"/>
        </w:rPr>
      </w:pPr>
      <w:r>
        <w:rPr>
          <w:rFonts w:hint="eastAsia"/>
          <w:b/>
          <w:bCs/>
          <w:color w:val="auto"/>
          <w:lang w:val="en-US" w:eastAsia="zh-CN"/>
        </w:rPr>
        <w:t>（六）年度薪酬方案制定情况</w:t>
      </w:r>
    </w:p>
    <w:p>
      <w:pPr>
        <w:bidi w:val="0"/>
        <w:ind w:firstLine="420" w:firstLineChars="200"/>
        <w:rPr>
          <w:rFonts w:hint="eastAsia"/>
          <w:color w:val="auto"/>
          <w:lang w:val="en-US" w:eastAsia="zh-CN"/>
        </w:rPr>
      </w:pPr>
      <w:r>
        <w:rPr>
          <w:rFonts w:hint="eastAsia"/>
          <w:color w:val="auto"/>
          <w:lang w:val="en-US" w:eastAsia="zh-CN"/>
        </w:rPr>
        <w:t>根据省农信联社工资管理办法相关要求，本行职工工资总额与株洲农商银行年度经营利润、等级、绩效等次直接挂钩，结合本行年度财务收支及成本控制计划、上一年度员工薪酬水平以及同业人员的薪酬情况等因素，制定年度薪酬方案。分别有《株洲农村商业银行股份有限公司2023年员工薪酬管理办法》《株洲农村商业银行股份有限公司2023年员工绩效工资考核办法》等。</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四、聘任会计师事务所</w:t>
      </w:r>
    </w:p>
    <w:p>
      <w:pPr>
        <w:bidi w:val="0"/>
        <w:ind w:firstLine="420" w:firstLineChars="200"/>
        <w:rPr>
          <w:rFonts w:hint="eastAsia"/>
          <w:color w:val="auto"/>
          <w:lang w:val="en-US" w:eastAsia="zh-CN"/>
        </w:rPr>
      </w:pPr>
      <w:r>
        <w:rPr>
          <w:rFonts w:hint="eastAsia"/>
          <w:color w:val="auto"/>
          <w:lang w:val="en-US" w:eastAsia="zh-CN"/>
        </w:rPr>
        <w:t>报告期内，本行聘任湖南友谊联合会计师事务所（普通合伙）担任本行的审计机构。</w:t>
      </w:r>
    </w:p>
    <w:p>
      <w:pPr>
        <w:ind w:firstLine="420" w:firstLineChars="200"/>
        <w:rPr>
          <w:rFonts w:hint="eastAsia"/>
          <w:color w:val="C00000"/>
          <w:sz w:val="21"/>
          <w:szCs w:val="21"/>
          <w:lang w:val="en-US" w:eastAsia="zh-CN"/>
        </w:rPr>
      </w:pPr>
    </w:p>
    <w:sectPr>
      <w:pgSz w:w="11900" w:h="16838"/>
      <w:pgMar w:top="2154" w:right="1531" w:bottom="2154" w:left="1531" w:header="720" w:footer="720" w:gutter="0"/>
      <w:pgBorders>
        <w:top w:val="none" w:sz="0" w:space="0"/>
        <w:left w:val="none" w:sz="0" w:space="0"/>
        <w:bottom w:val="none" w:sz="0" w:space="0"/>
        <w:right w:val="none" w:sz="0" w:space="0"/>
      </w:pgBorders>
      <w:lnNumType w:countBy="0" w:distance="36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53"/>
      <w:jc w:val="left"/>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A7BE3"/>
    <w:multiLevelType w:val="singleLevel"/>
    <w:tmpl w:val="5A7A7BE3"/>
    <w:lvl w:ilvl="0" w:tentative="0">
      <w:start w:val="1"/>
      <w:numFmt w:val="chineseCounting"/>
      <w:suff w:val="nothing"/>
      <w:lvlText w:val="%1、"/>
      <w:lvlJc w:val="left"/>
    </w:lvl>
  </w:abstractNum>
  <w:abstractNum w:abstractNumId="1">
    <w:nsid w:val="5A7AAC30"/>
    <w:multiLevelType w:val="singleLevel"/>
    <w:tmpl w:val="5A7AAC30"/>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OGIxYzQ5N2FjZjM5MDFhNWMwYjFiYWRmMjY0NjEifQ=="/>
  </w:docVars>
  <w:rsids>
    <w:rsidRoot w:val="333C69A0"/>
    <w:rsid w:val="00E77D03"/>
    <w:rsid w:val="010667F1"/>
    <w:rsid w:val="02FC38FD"/>
    <w:rsid w:val="04C1671E"/>
    <w:rsid w:val="04F72956"/>
    <w:rsid w:val="059832C6"/>
    <w:rsid w:val="074E7D0A"/>
    <w:rsid w:val="081748C6"/>
    <w:rsid w:val="081F558B"/>
    <w:rsid w:val="09254D90"/>
    <w:rsid w:val="099C26A4"/>
    <w:rsid w:val="0AB07BAD"/>
    <w:rsid w:val="0AE03629"/>
    <w:rsid w:val="0C2030B4"/>
    <w:rsid w:val="0C7814BA"/>
    <w:rsid w:val="0C7E090C"/>
    <w:rsid w:val="0E247E87"/>
    <w:rsid w:val="104F31AB"/>
    <w:rsid w:val="12125997"/>
    <w:rsid w:val="124E2AF1"/>
    <w:rsid w:val="12682696"/>
    <w:rsid w:val="12F32908"/>
    <w:rsid w:val="13075F5F"/>
    <w:rsid w:val="13AB3552"/>
    <w:rsid w:val="14AD6516"/>
    <w:rsid w:val="14D95869"/>
    <w:rsid w:val="15E07EDE"/>
    <w:rsid w:val="18085A1D"/>
    <w:rsid w:val="188D06D3"/>
    <w:rsid w:val="18C51EE4"/>
    <w:rsid w:val="18D102C4"/>
    <w:rsid w:val="1B6A7C0B"/>
    <w:rsid w:val="1CAE0268"/>
    <w:rsid w:val="1D043B1E"/>
    <w:rsid w:val="1DF255F4"/>
    <w:rsid w:val="1DF72531"/>
    <w:rsid w:val="1EC217F7"/>
    <w:rsid w:val="200D7D45"/>
    <w:rsid w:val="20485569"/>
    <w:rsid w:val="207719DF"/>
    <w:rsid w:val="21454223"/>
    <w:rsid w:val="21B874DD"/>
    <w:rsid w:val="22C8753A"/>
    <w:rsid w:val="23B500BC"/>
    <w:rsid w:val="255E1088"/>
    <w:rsid w:val="25621AE5"/>
    <w:rsid w:val="2791384C"/>
    <w:rsid w:val="27972147"/>
    <w:rsid w:val="27FF11CE"/>
    <w:rsid w:val="28FA3C5D"/>
    <w:rsid w:val="290C1CFA"/>
    <w:rsid w:val="293314A5"/>
    <w:rsid w:val="29B42ED3"/>
    <w:rsid w:val="2A5D2399"/>
    <w:rsid w:val="2BFE73BA"/>
    <w:rsid w:val="2DFA397D"/>
    <w:rsid w:val="2E7952A2"/>
    <w:rsid w:val="2EC27BA3"/>
    <w:rsid w:val="30EE1158"/>
    <w:rsid w:val="31EE0107"/>
    <w:rsid w:val="333C69A0"/>
    <w:rsid w:val="33B65581"/>
    <w:rsid w:val="340416DF"/>
    <w:rsid w:val="34866CD6"/>
    <w:rsid w:val="34E41BA1"/>
    <w:rsid w:val="36092C7F"/>
    <w:rsid w:val="37C7533F"/>
    <w:rsid w:val="37DE026E"/>
    <w:rsid w:val="38175836"/>
    <w:rsid w:val="397F3F36"/>
    <w:rsid w:val="3A5963FD"/>
    <w:rsid w:val="3B5A43F0"/>
    <w:rsid w:val="3BD20494"/>
    <w:rsid w:val="3CCE0ED2"/>
    <w:rsid w:val="3CF73D83"/>
    <w:rsid w:val="3DC34C62"/>
    <w:rsid w:val="3DFA3474"/>
    <w:rsid w:val="3E2E3783"/>
    <w:rsid w:val="41D87618"/>
    <w:rsid w:val="41E14C69"/>
    <w:rsid w:val="41EB3AF8"/>
    <w:rsid w:val="43E402C4"/>
    <w:rsid w:val="449F731E"/>
    <w:rsid w:val="45DA1223"/>
    <w:rsid w:val="46882FF6"/>
    <w:rsid w:val="486017CE"/>
    <w:rsid w:val="4971556D"/>
    <w:rsid w:val="49B86541"/>
    <w:rsid w:val="49C70991"/>
    <w:rsid w:val="49D722FD"/>
    <w:rsid w:val="4A1D1CCC"/>
    <w:rsid w:val="4C8B7324"/>
    <w:rsid w:val="4E493D7D"/>
    <w:rsid w:val="4E7D6A11"/>
    <w:rsid w:val="50326515"/>
    <w:rsid w:val="525C2828"/>
    <w:rsid w:val="5347311C"/>
    <w:rsid w:val="53907E83"/>
    <w:rsid w:val="55AA02F5"/>
    <w:rsid w:val="56F13960"/>
    <w:rsid w:val="595C1182"/>
    <w:rsid w:val="597366CF"/>
    <w:rsid w:val="5B4C1F18"/>
    <w:rsid w:val="5CCD31E7"/>
    <w:rsid w:val="5CCE2780"/>
    <w:rsid w:val="5CD000F0"/>
    <w:rsid w:val="5D0A22B2"/>
    <w:rsid w:val="5D527DCE"/>
    <w:rsid w:val="5E5B7C0F"/>
    <w:rsid w:val="5F667D08"/>
    <w:rsid w:val="624263CD"/>
    <w:rsid w:val="637D4307"/>
    <w:rsid w:val="649616F0"/>
    <w:rsid w:val="649D011F"/>
    <w:rsid w:val="64C9520C"/>
    <w:rsid w:val="65CF1796"/>
    <w:rsid w:val="662C0BD7"/>
    <w:rsid w:val="66652501"/>
    <w:rsid w:val="676B07FC"/>
    <w:rsid w:val="6953378C"/>
    <w:rsid w:val="6ABC2A19"/>
    <w:rsid w:val="6AD751B9"/>
    <w:rsid w:val="6AE832A3"/>
    <w:rsid w:val="6B143002"/>
    <w:rsid w:val="6CE10C24"/>
    <w:rsid w:val="6E21521D"/>
    <w:rsid w:val="6E217153"/>
    <w:rsid w:val="6EE54C58"/>
    <w:rsid w:val="70626270"/>
    <w:rsid w:val="70FA3967"/>
    <w:rsid w:val="71496F6A"/>
    <w:rsid w:val="717C1CE5"/>
    <w:rsid w:val="72430793"/>
    <w:rsid w:val="72996472"/>
    <w:rsid w:val="73B563BC"/>
    <w:rsid w:val="748B2008"/>
    <w:rsid w:val="757D343F"/>
    <w:rsid w:val="77D340C4"/>
    <w:rsid w:val="78190499"/>
    <w:rsid w:val="79EA51DA"/>
    <w:rsid w:val="79F80DAC"/>
    <w:rsid w:val="7AA31D24"/>
    <w:rsid w:val="7AC80C4F"/>
    <w:rsid w:val="7B5876EA"/>
    <w:rsid w:val="7C566BC9"/>
    <w:rsid w:val="7D1F3D6D"/>
    <w:rsid w:val="7DA00352"/>
    <w:rsid w:val="7DD17345"/>
    <w:rsid w:val="7FE97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5"/>
    <w:basedOn w:val="1"/>
    <w:next w:val="1"/>
    <w:unhideWhenUsed/>
    <w:qFormat/>
    <w:uiPriority w:val="0"/>
    <w:pPr>
      <w:keepNext/>
      <w:keepLines/>
      <w:spacing w:line="372" w:lineRule="auto"/>
      <w:outlineLvl w:val="4"/>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Times New Roman" w:hAnsi="Times New Roman"/>
    </w:rPr>
  </w:style>
  <w:style w:type="paragraph" w:styleId="5">
    <w:name w:val="Plain Text"/>
    <w:basedOn w:val="1"/>
    <w:qFormat/>
    <w:uiPriority w:val="99"/>
    <w:pPr>
      <w:adjustRightInd w:val="0"/>
      <w:textAlignment w:val="baseline"/>
    </w:pPr>
    <w:rPr>
      <w:rFonts w:ascii="宋体" w:hAnsi="Courier New" w:cs="宋体"/>
      <w:szCs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rFonts w:ascii="Times New Roman" w:hAnsi="Times New Roman" w:cs="Times New Roman"/>
      <w:sz w:val="18"/>
      <w:szCs w:val="18"/>
    </w:rPr>
  </w:style>
  <w:style w:type="paragraph" w:customStyle="1" w:styleId="12">
    <w:name w:val="方正小标宋标题"/>
    <w:basedOn w:val="1"/>
    <w:next w:val="1"/>
    <w:qFormat/>
    <w:uiPriority w:val="0"/>
    <w:pPr>
      <w:jc w:val="center"/>
    </w:pPr>
    <w:rPr>
      <w:rFonts w:ascii="Calibri" w:hAnsi="Calibri" w:eastAsia="方正小标宋简体"/>
      <w:sz w:val="36"/>
    </w:rPr>
  </w:style>
  <w:style w:type="paragraph" w:customStyle="1" w:styleId="13">
    <w:name w:val="正文仿宋"/>
    <w:basedOn w:val="1"/>
    <w:qFormat/>
    <w:uiPriority w:val="0"/>
    <w:pPr>
      <w:spacing w:line="560" w:lineRule="exact"/>
      <w:ind w:firstLine="720" w:firstLineChars="200"/>
    </w:pPr>
    <w:rPr>
      <w:rFonts w:ascii="仿宋" w:hAnsi="仿宋" w:eastAsia="仿宋" w:cs="Times New Roman"/>
      <w:kern w:val="0"/>
      <w:sz w:val="32"/>
      <w:szCs w:val="22"/>
    </w:rPr>
  </w:style>
  <w:style w:type="paragraph" w:customStyle="1" w:styleId="14">
    <w:name w:val="正文标题1"/>
    <w:basedOn w:val="13"/>
    <w:next w:val="13"/>
    <w:qFormat/>
    <w:uiPriority w:val="0"/>
    <w:pPr>
      <w:ind w:firstLine="723"/>
      <w:outlineLvl w:val="2"/>
    </w:pPr>
    <w:rPr>
      <w:rFonts w:cs="Times New Roman"/>
      <w:b/>
      <w:szCs w:val="20"/>
    </w:rPr>
  </w:style>
  <w:style w:type="paragraph" w:customStyle="1" w:styleId="15">
    <w:name w:val="正文标题一"/>
    <w:basedOn w:val="13"/>
    <w:next w:val="13"/>
    <w:qFormat/>
    <w:uiPriority w:val="0"/>
    <w:pPr>
      <w:spacing w:line="560" w:lineRule="exact"/>
      <w:ind w:firstLine="723"/>
      <w:outlineLvl w:val="0"/>
    </w:pPr>
    <w:rPr>
      <w:rFonts w:ascii="黑体" w:hAnsi="黑体" w:eastAsia="黑体"/>
    </w:rPr>
  </w:style>
  <w:style w:type="paragraph" w:customStyle="1" w:styleId="16">
    <w:name w:val="正文标题（一）"/>
    <w:basedOn w:val="13"/>
    <w:next w:val="13"/>
    <w:qFormat/>
    <w:uiPriority w:val="0"/>
    <w:pPr>
      <w:ind w:firstLine="723" w:firstLineChars="200"/>
      <w:outlineLvl w:val="1"/>
    </w:pPr>
    <w:rPr>
      <w:rFonts w:ascii="楷体" w:hAnsi="楷体" w:eastAsia="楷体"/>
    </w:rPr>
  </w:style>
  <w:style w:type="paragraph" w:customStyle="1" w:styleId="17">
    <w:name w:val="正文方正小标宋标题"/>
    <w:basedOn w:val="1"/>
    <w:next w:val="13"/>
    <w:link w:val="26"/>
    <w:qFormat/>
    <w:uiPriority w:val="0"/>
    <w:pPr>
      <w:spacing w:after="100" w:afterLines="100" w:line="720" w:lineRule="exact"/>
      <w:jc w:val="center"/>
    </w:pPr>
    <w:rPr>
      <w:rFonts w:ascii="方正小标宋简体" w:hAnsi="方正小标宋简体" w:eastAsia="方正小标宋简体" w:cs="Bodoni MT"/>
      <w:spacing w:val="-6"/>
      <w:sz w:val="40"/>
      <w:szCs w:val="22"/>
    </w:rPr>
  </w:style>
  <w:style w:type="paragraph" w:customStyle="1" w:styleId="18">
    <w:name w:val="文中章节"/>
    <w:basedOn w:val="1"/>
    <w:qFormat/>
    <w:uiPriority w:val="0"/>
    <w:pPr>
      <w:jc w:val="center"/>
      <w:outlineLvl w:val="0"/>
    </w:pPr>
    <w:rPr>
      <w:rFonts w:ascii="楷体" w:hAnsi="楷体" w:eastAsia="楷体" w:cs="黑体"/>
      <w:sz w:val="32"/>
      <w:szCs w:val="22"/>
    </w:rPr>
  </w:style>
  <w:style w:type="paragraph" w:customStyle="1" w:styleId="19">
    <w:name w:val="正文文中章节"/>
    <w:basedOn w:val="1"/>
    <w:qFormat/>
    <w:uiPriority w:val="0"/>
    <w:pPr>
      <w:jc w:val="center"/>
      <w:outlineLvl w:val="0"/>
    </w:pPr>
    <w:rPr>
      <w:rFonts w:eastAsia="黑体" w:asciiTheme="minorAscii" w:hAnsiTheme="minorAscii"/>
      <w:sz w:val="32"/>
      <w:szCs w:val="22"/>
    </w:rPr>
  </w:style>
  <w:style w:type="paragraph" w:customStyle="1" w:styleId="20">
    <w:name w:val="正文标题章节"/>
    <w:basedOn w:val="1"/>
    <w:next w:val="13"/>
    <w:link w:val="44"/>
    <w:qFormat/>
    <w:uiPriority w:val="0"/>
    <w:pPr>
      <w:jc w:val="center"/>
      <w:outlineLvl w:val="0"/>
    </w:pPr>
    <w:rPr>
      <w:rFonts w:eastAsia="黑体" w:asciiTheme="minorAscii" w:hAnsiTheme="minorAscii"/>
      <w:sz w:val="32"/>
      <w:szCs w:val="22"/>
    </w:rPr>
  </w:style>
  <w:style w:type="character" w:customStyle="1" w:styleId="21">
    <w:name w:val="正文标题（一） Char"/>
    <w:link w:val="22"/>
    <w:qFormat/>
    <w:locked/>
    <w:uiPriority w:val="0"/>
    <w:rPr>
      <w:rFonts w:ascii="楷体" w:hAnsi="楷体" w:eastAsia="楷体" w:cs="Times New Roman"/>
    </w:rPr>
  </w:style>
  <w:style w:type="paragraph" w:customStyle="1" w:styleId="22">
    <w:name w:val="3标题（一）"/>
    <w:basedOn w:val="23"/>
    <w:next w:val="23"/>
    <w:link w:val="21"/>
    <w:qFormat/>
    <w:uiPriority w:val="0"/>
    <w:pPr>
      <w:ind w:firstLine="723" w:firstLineChars="200"/>
      <w:outlineLvl w:val="1"/>
    </w:pPr>
    <w:rPr>
      <w:rFonts w:ascii="楷体" w:hAnsi="楷体" w:eastAsia="楷体"/>
    </w:rPr>
  </w:style>
  <w:style w:type="paragraph" w:customStyle="1" w:styleId="23">
    <w:name w:val="5仿宋"/>
    <w:basedOn w:val="1"/>
    <w:link w:val="32"/>
    <w:qFormat/>
    <w:uiPriority w:val="0"/>
    <w:pPr>
      <w:spacing w:line="560" w:lineRule="exact"/>
      <w:ind w:firstLine="720" w:firstLineChars="200"/>
    </w:pPr>
    <w:rPr>
      <w:rFonts w:ascii="仿宋" w:hAnsi="仿宋" w:eastAsia="仿宋" w:cs="Times New Roman"/>
      <w:kern w:val="0"/>
      <w:sz w:val="32"/>
      <w:szCs w:val="22"/>
    </w:rPr>
  </w:style>
  <w:style w:type="paragraph" w:customStyle="1" w:styleId="24">
    <w:name w:val="3标题楷体（一）"/>
    <w:basedOn w:val="25"/>
    <w:next w:val="25"/>
    <w:link w:val="21"/>
    <w:qFormat/>
    <w:uiPriority w:val="0"/>
    <w:pPr>
      <w:ind w:firstLine="723" w:firstLineChars="200"/>
      <w:outlineLvl w:val="1"/>
    </w:pPr>
    <w:rPr>
      <w:rFonts w:ascii="楷体" w:hAnsi="楷体" w:eastAsia="楷体"/>
    </w:rPr>
  </w:style>
  <w:style w:type="paragraph" w:customStyle="1" w:styleId="25">
    <w:name w:val="5.1仿宋"/>
    <w:basedOn w:val="1"/>
    <w:qFormat/>
    <w:uiPriority w:val="0"/>
    <w:pPr>
      <w:spacing w:line="560" w:lineRule="exact"/>
      <w:ind w:firstLine="720" w:firstLineChars="200"/>
    </w:pPr>
    <w:rPr>
      <w:rFonts w:ascii="仿宋" w:hAnsi="仿宋" w:eastAsia="仿宋" w:cs="Times New Roman"/>
      <w:kern w:val="0"/>
      <w:sz w:val="32"/>
      <w:szCs w:val="22"/>
    </w:rPr>
  </w:style>
  <w:style w:type="character" w:customStyle="1" w:styleId="26">
    <w:name w:val="正文方正小标宋标题 Char"/>
    <w:link w:val="17"/>
    <w:qFormat/>
    <w:uiPriority w:val="0"/>
    <w:rPr>
      <w:rFonts w:ascii="方正小标宋简体" w:hAnsi="方正小标宋简体" w:eastAsia="方正小标宋简体" w:cs="Bodoni MT"/>
      <w:spacing w:val="-6"/>
      <w:sz w:val="40"/>
      <w:szCs w:val="22"/>
    </w:rPr>
  </w:style>
  <w:style w:type="paragraph" w:customStyle="1" w:styleId="27">
    <w:name w:val="正方正小标宋标题"/>
    <w:basedOn w:val="1"/>
    <w:next w:val="1"/>
    <w:qFormat/>
    <w:uiPriority w:val="0"/>
    <w:pPr>
      <w:ind w:firstLine="0" w:firstLineChars="0"/>
      <w:jc w:val="center"/>
    </w:pPr>
    <w:rPr>
      <w:rFonts w:ascii="Calibri" w:hAnsi="Calibri" w:eastAsia="方正小标宋简体" w:cs="Times New Roman"/>
      <w:sz w:val="36"/>
    </w:rPr>
  </w:style>
  <w:style w:type="paragraph" w:customStyle="1" w:styleId="28">
    <w:name w:val="正文中章节"/>
    <w:basedOn w:val="1"/>
    <w:next w:val="13"/>
    <w:qFormat/>
    <w:uiPriority w:val="0"/>
    <w:pPr>
      <w:jc w:val="center"/>
      <w:outlineLvl w:val="0"/>
    </w:pPr>
    <w:rPr>
      <w:rFonts w:ascii="楷体" w:hAnsi="楷体" w:eastAsia="楷体" w:cs="黑体"/>
      <w:sz w:val="32"/>
      <w:szCs w:val="22"/>
    </w:rPr>
  </w:style>
  <w:style w:type="character" w:customStyle="1" w:styleId="29">
    <w:name w:val="正文标题1 Char"/>
    <w:link w:val="30"/>
    <w:qFormat/>
    <w:uiPriority w:val="0"/>
    <w:rPr>
      <w:rFonts w:eastAsia="仿宋" w:cs="Times New Roman"/>
      <w:b/>
      <w:sz w:val="32"/>
      <w:szCs w:val="20"/>
    </w:rPr>
  </w:style>
  <w:style w:type="paragraph" w:customStyle="1" w:styleId="30">
    <w:name w:val="4标题1"/>
    <w:basedOn w:val="23"/>
    <w:next w:val="23"/>
    <w:link w:val="29"/>
    <w:qFormat/>
    <w:uiPriority w:val="0"/>
    <w:pPr>
      <w:ind w:firstLine="723"/>
      <w:outlineLvl w:val="2"/>
    </w:pPr>
    <w:rPr>
      <w:b/>
      <w:szCs w:val="20"/>
    </w:rPr>
  </w:style>
  <w:style w:type="paragraph" w:customStyle="1" w:styleId="31">
    <w:name w:val="4标题宋体加粗1"/>
    <w:basedOn w:val="25"/>
    <w:next w:val="25"/>
    <w:link w:val="29"/>
    <w:qFormat/>
    <w:uiPriority w:val="0"/>
    <w:pPr>
      <w:ind w:firstLine="723"/>
      <w:outlineLvl w:val="2"/>
    </w:pPr>
    <w:rPr>
      <w:b/>
      <w:szCs w:val="20"/>
    </w:rPr>
  </w:style>
  <w:style w:type="character" w:customStyle="1" w:styleId="32">
    <w:name w:val="正文仿宋 Char"/>
    <w:link w:val="23"/>
    <w:qFormat/>
    <w:uiPriority w:val="0"/>
    <w:rPr>
      <w:rFonts w:ascii="仿宋" w:hAnsi="仿宋" w:eastAsia="仿宋" w:cs="Times New Roman"/>
      <w:kern w:val="0"/>
      <w:sz w:val="32"/>
    </w:rPr>
  </w:style>
  <w:style w:type="paragraph" w:customStyle="1" w:styleId="33">
    <w:name w:val="5.1正文仿宋"/>
    <w:basedOn w:val="1"/>
    <w:link w:val="32"/>
    <w:qFormat/>
    <w:uiPriority w:val="0"/>
    <w:pPr>
      <w:spacing w:line="580" w:lineRule="exact"/>
      <w:ind w:firstLine="720" w:firstLineChars="200"/>
    </w:pPr>
    <w:rPr>
      <w:rFonts w:ascii="仿宋" w:hAnsi="仿宋" w:eastAsia="仿宋" w:cs="Times New Roman"/>
      <w:kern w:val="0"/>
      <w:sz w:val="32"/>
      <w:szCs w:val="22"/>
    </w:rPr>
  </w:style>
  <w:style w:type="paragraph" w:customStyle="1" w:styleId="34">
    <w:name w:val="1方正小标宋标题"/>
    <w:basedOn w:val="1"/>
    <w:next w:val="23"/>
    <w:qFormat/>
    <w:uiPriority w:val="0"/>
    <w:pPr>
      <w:jc w:val="center"/>
    </w:pPr>
    <w:rPr>
      <w:rFonts w:ascii="Calibri" w:hAnsi="Calibri" w:eastAsia="方正小标宋简体"/>
      <w:sz w:val="36"/>
    </w:rPr>
  </w:style>
  <w:style w:type="paragraph" w:customStyle="1" w:styleId="35">
    <w:name w:val="2标题一"/>
    <w:basedOn w:val="23"/>
    <w:next w:val="23"/>
    <w:qFormat/>
    <w:uiPriority w:val="0"/>
    <w:pPr>
      <w:spacing w:line="560" w:lineRule="exact"/>
      <w:ind w:firstLine="723"/>
      <w:outlineLvl w:val="0"/>
    </w:pPr>
    <w:rPr>
      <w:rFonts w:ascii="黑体" w:hAnsi="黑体" w:eastAsia="黑体"/>
    </w:rPr>
  </w:style>
  <w:style w:type="paragraph" w:customStyle="1" w:styleId="36">
    <w:name w:val="章节标题居中"/>
    <w:basedOn w:val="1"/>
    <w:next w:val="35"/>
    <w:qFormat/>
    <w:uiPriority w:val="0"/>
    <w:pPr>
      <w:jc w:val="center"/>
      <w:outlineLvl w:val="0"/>
    </w:pPr>
    <w:rPr>
      <w:rFonts w:eastAsia="黑体" w:asciiTheme="minorAscii" w:hAnsiTheme="minorAscii"/>
      <w:sz w:val="32"/>
      <w:szCs w:val="22"/>
    </w:rPr>
  </w:style>
  <w:style w:type="paragraph" w:customStyle="1" w:styleId="37">
    <w:name w:val="6章节标题居中"/>
    <w:basedOn w:val="1"/>
    <w:next w:val="35"/>
    <w:qFormat/>
    <w:uiPriority w:val="0"/>
    <w:pPr>
      <w:jc w:val="center"/>
      <w:outlineLvl w:val="0"/>
    </w:pPr>
    <w:rPr>
      <w:rFonts w:eastAsia="黑体" w:asciiTheme="minorAscii" w:hAnsiTheme="minorAscii"/>
      <w:sz w:val="32"/>
      <w:szCs w:val="22"/>
    </w:rPr>
  </w:style>
  <w:style w:type="paragraph" w:customStyle="1" w:styleId="38">
    <w:name w:val="7标题楷体居中"/>
    <w:basedOn w:val="1"/>
    <w:next w:val="23"/>
    <w:qFormat/>
    <w:uiPriority w:val="0"/>
    <w:pPr>
      <w:spacing w:line="560" w:lineRule="exact"/>
      <w:jc w:val="center"/>
      <w:outlineLvl w:val="0"/>
    </w:pPr>
    <w:rPr>
      <w:rFonts w:ascii="楷体" w:hAnsi="楷体" w:eastAsia="楷体" w:cs="黑体"/>
      <w:sz w:val="32"/>
      <w:szCs w:val="22"/>
    </w:rPr>
  </w:style>
  <w:style w:type="paragraph" w:customStyle="1" w:styleId="39">
    <w:name w:val="5.2楷体"/>
    <w:basedOn w:val="1"/>
    <w:next w:val="23"/>
    <w:qFormat/>
    <w:uiPriority w:val="0"/>
    <w:pPr>
      <w:spacing w:line="560" w:lineRule="exact"/>
      <w:ind w:firstLine="420" w:firstLineChars="200"/>
      <w:jc w:val="both"/>
      <w:outlineLvl w:val="0"/>
    </w:pPr>
    <w:rPr>
      <w:rFonts w:ascii="楷体" w:hAnsi="楷体" w:eastAsia="楷体" w:cs="黑体"/>
      <w:sz w:val="32"/>
      <w:szCs w:val="22"/>
    </w:rPr>
  </w:style>
  <w:style w:type="paragraph" w:customStyle="1" w:styleId="40">
    <w:name w:val="6章节黑体居中"/>
    <w:basedOn w:val="1"/>
    <w:next w:val="35"/>
    <w:link w:val="45"/>
    <w:qFormat/>
    <w:uiPriority w:val="0"/>
    <w:pPr>
      <w:jc w:val="center"/>
      <w:outlineLvl w:val="0"/>
    </w:pPr>
    <w:rPr>
      <w:rFonts w:eastAsia="黑体" w:asciiTheme="minorAscii" w:hAnsiTheme="minorAscii"/>
      <w:sz w:val="32"/>
      <w:szCs w:val="22"/>
    </w:rPr>
  </w:style>
  <w:style w:type="paragraph" w:customStyle="1" w:styleId="41">
    <w:name w:val="1标题方正小标宋体"/>
    <w:basedOn w:val="1"/>
    <w:next w:val="25"/>
    <w:qFormat/>
    <w:uiPriority w:val="0"/>
    <w:pPr>
      <w:spacing w:line="580" w:lineRule="exact"/>
      <w:jc w:val="center"/>
    </w:pPr>
    <w:rPr>
      <w:rFonts w:ascii="Calibri" w:hAnsi="Calibri" w:eastAsia="方正小标宋简体"/>
      <w:sz w:val="36"/>
    </w:rPr>
  </w:style>
  <w:style w:type="paragraph" w:customStyle="1" w:styleId="42">
    <w:name w:val="2标题黑体一级"/>
    <w:basedOn w:val="25"/>
    <w:next w:val="25"/>
    <w:qFormat/>
    <w:uiPriority w:val="0"/>
    <w:pPr>
      <w:spacing w:line="560" w:lineRule="exact"/>
      <w:ind w:firstLine="723"/>
      <w:outlineLvl w:val="0"/>
    </w:pPr>
    <w:rPr>
      <w:rFonts w:ascii="黑体" w:hAnsi="黑体" w:eastAsia="黑体"/>
    </w:rPr>
  </w:style>
  <w:style w:type="paragraph" w:customStyle="1" w:styleId="43">
    <w:name w:val="5.2正文楷体"/>
    <w:basedOn w:val="1"/>
    <w:next w:val="33"/>
    <w:qFormat/>
    <w:uiPriority w:val="0"/>
    <w:pPr>
      <w:spacing w:line="560" w:lineRule="exact"/>
      <w:ind w:firstLine="420" w:firstLineChars="200"/>
      <w:jc w:val="both"/>
      <w:outlineLvl w:val="0"/>
    </w:pPr>
    <w:rPr>
      <w:rFonts w:ascii="楷体" w:hAnsi="楷体" w:eastAsia="楷体" w:cs="黑体"/>
      <w:sz w:val="32"/>
      <w:szCs w:val="22"/>
    </w:rPr>
  </w:style>
  <w:style w:type="character" w:customStyle="1" w:styleId="44">
    <w:name w:val="正文标题章节 Char"/>
    <w:link w:val="20"/>
    <w:qFormat/>
    <w:uiPriority w:val="0"/>
    <w:rPr>
      <w:rFonts w:eastAsia="黑体" w:asciiTheme="minorAscii" w:hAnsiTheme="minorAscii"/>
      <w:sz w:val="32"/>
      <w:szCs w:val="22"/>
    </w:rPr>
  </w:style>
  <w:style w:type="character" w:customStyle="1" w:styleId="45">
    <w:name w:val="6章节黑体居中 Char"/>
    <w:link w:val="40"/>
    <w:qFormat/>
    <w:uiPriority w:val="0"/>
    <w:rPr>
      <w:rFonts w:eastAsia="黑体" w:asciiTheme="minorAscii" w:hAnsiTheme="minorAscii"/>
      <w:sz w:val="32"/>
      <w:szCs w:val="22"/>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Other|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rPr>
  </w:style>
  <w:style w:type="character" w:customStyle="1" w:styleId="48">
    <w:name w:val="font51"/>
    <w:basedOn w:val="11"/>
    <w:qFormat/>
    <w:uiPriority w:val="0"/>
    <w:rPr>
      <w:rFonts w:hint="eastAsia" w:ascii="宋体" w:hAnsi="宋体" w:eastAsia="宋体" w:cs="宋体"/>
      <w:color w:val="000000"/>
      <w:sz w:val="18"/>
      <w:szCs w:val="18"/>
      <w:u w:val="none"/>
    </w:rPr>
  </w:style>
  <w:style w:type="character" w:customStyle="1" w:styleId="49">
    <w:name w:val="font31"/>
    <w:basedOn w:val="11"/>
    <w:qFormat/>
    <w:uiPriority w:val="0"/>
    <w:rPr>
      <w:rFonts w:ascii="宋体" w:hAnsi="宋体" w:eastAsia="宋体" w:cs="宋体"/>
      <w:b/>
      <w:bCs/>
      <w:color w:val="000000"/>
      <w:sz w:val="22"/>
      <w:szCs w:val="22"/>
      <w:u w:val="none"/>
    </w:rPr>
  </w:style>
  <w:style w:type="character" w:customStyle="1" w:styleId="50">
    <w:name w:val="font41"/>
    <w:basedOn w:val="11"/>
    <w:qFormat/>
    <w:uiPriority w:val="0"/>
    <w:rPr>
      <w:rFonts w:ascii="宋体" w:hAnsi="宋体" w:eastAsia="宋体" w:cs="宋体"/>
      <w:color w:val="000000"/>
      <w:sz w:val="22"/>
      <w:szCs w:val="22"/>
      <w:u w:val="none"/>
    </w:rPr>
  </w:style>
  <w:style w:type="character" w:customStyle="1" w:styleId="51">
    <w:name w:val="font21"/>
    <w:basedOn w:val="11"/>
    <w:qFormat/>
    <w:uiPriority w:val="0"/>
    <w:rPr>
      <w:rFonts w:ascii="宋体" w:hAnsi="宋体" w:eastAsia="宋体" w:cs="宋体"/>
      <w:b/>
      <w:bCs/>
      <w:color w:val="300012"/>
      <w:sz w:val="22"/>
      <w:szCs w:val="22"/>
      <w:u w:val="none"/>
    </w:rPr>
  </w:style>
  <w:style w:type="character" w:customStyle="1" w:styleId="5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13157</Words>
  <Characters>17883</Characters>
  <Lines>0</Lines>
  <Paragraphs>0</Paragraphs>
  <TotalTime>2</TotalTime>
  <ScaleCrop>false</ScaleCrop>
  <LinksUpToDate>false</LinksUpToDate>
  <CharactersWithSpaces>17928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2023-07-06T08:46:00Z</dcterms:created>
  <dc:creator>陈哲祚</dc:creator>
  <cp:lastModifiedBy>陈哲祚</cp:lastModifiedBy>
  <dcterms:modified xsi:type="dcterms:W3CDTF">2024-04-30T06:34:33Z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2BCAF2D606D04451AAA888351E06DB27_13</vt:lpwstr>
  </property>
</Properties>
</file>